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14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08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90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21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04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04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33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46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19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99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7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26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49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32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47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51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