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多处图像重复且修订过程更改作者署名，深圳市孙逸仙心血管医院的论文被撤稿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2025-04-14 09:36:12</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5481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968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中国医学科学院阜外医院深圳医院（深圳市孙逸仙心血管医院）的</w:t>
      </w:r>
      <w:r>
        <w:rPr>
          <w:rStyle w:val="any"/>
          <w:rFonts w:ascii="Times New Roman" w:eastAsia="Times New Roman" w:hAnsi="Times New Roman" w:cs="Times New Roman"/>
          <w:color w:val="C84D0C"/>
          <w:spacing w:val="9"/>
          <w:sz w:val="21"/>
          <w:szCs w:val="21"/>
        </w:rPr>
        <w:t>Hong-Lei Zhao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Bao-Quan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Ying Luo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Xie-Hui Chen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陈协辉）</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Life Sciences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IF=5.2</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Exogenous hydrogen sulfide ameliorates high glucose-induced myocardial injury &amp; inflammation via the CIRP-MAPK signaling pathway in H9c2 cardiac cells"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外源性硫化氢通过</w:t>
      </w:r>
      <w:r>
        <w:rPr>
          <w:rStyle w:val="any"/>
          <w:rFonts w:ascii="Times New Roman" w:eastAsia="Times New Roman" w:hAnsi="Times New Roman" w:cs="Times New Roman"/>
          <w:spacing w:val="9"/>
          <w:sz w:val="21"/>
          <w:szCs w:val="21"/>
        </w:rPr>
        <w:t xml:space="preserve"> CIRP-MAPK </w:t>
      </w:r>
      <w:r>
        <w:rPr>
          <w:rStyle w:val="any"/>
          <w:rFonts w:ascii="PMingLiU" w:eastAsia="PMingLiU" w:hAnsi="PMingLiU" w:cs="PMingLiU"/>
          <w:spacing w:val="9"/>
          <w:sz w:val="21"/>
          <w:szCs w:val="21"/>
        </w:rPr>
        <w:t>信号通路改善</w:t>
      </w:r>
      <w:r>
        <w:rPr>
          <w:rStyle w:val="any"/>
          <w:rFonts w:ascii="Times New Roman" w:eastAsia="Times New Roman" w:hAnsi="Times New Roman" w:cs="Times New Roman"/>
          <w:spacing w:val="9"/>
          <w:sz w:val="21"/>
          <w:szCs w:val="21"/>
        </w:rPr>
        <w:t xml:space="preserve"> H9c2 </w:t>
      </w:r>
      <w:r>
        <w:rPr>
          <w:rStyle w:val="any"/>
          <w:rFonts w:ascii="PMingLiU" w:eastAsia="PMingLiU" w:hAnsi="PMingLiU" w:cs="PMingLiU"/>
          <w:spacing w:val="9"/>
          <w:sz w:val="21"/>
          <w:szCs w:val="21"/>
        </w:rPr>
        <w:t>心肌细胞中由高血糖诱发的心肌损伤和炎症反应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本研究得到深圳市卫生和计划生育委员会重点项目（项目编号：</w:t>
      </w:r>
      <w:r>
        <w:rPr>
          <w:rStyle w:val="any"/>
          <w:rFonts w:ascii="Times New Roman" w:eastAsia="Times New Roman" w:hAnsi="Times New Roman" w:cs="Times New Roman"/>
          <w:spacing w:val="9"/>
          <w:sz w:val="21"/>
          <w:szCs w:val="21"/>
        </w:rPr>
        <w:t>SZXJ2017020</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SZSM201612056</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3771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90323" name=""/>
                    <pic:cNvPicPr>
                      <a:picLocks noChangeAspect="1"/>
                    </pic:cNvPicPr>
                  </pic:nvPicPr>
                  <pic:blipFill>
                    <a:blip xmlns:r="http://schemas.openxmlformats.org/officeDocument/2006/relationships" r:embed="rId8"/>
                    <a:stretch>
                      <a:fillRect/>
                    </a:stretch>
                  </pic:blipFill>
                  <pic:spPr>
                    <a:xfrm>
                      <a:off x="0" y="0"/>
                      <a:ext cx="5486400" cy="473771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152851"/>
            <wp:docPr id="100004" name="" descr="医院动态-中国医学科学院阜外医院深圳医院（深圳市孙逸仙心血管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98989" name=""/>
                    <pic:cNvPicPr>
                      <a:picLocks noChangeAspect="1"/>
                    </pic:cNvPicPr>
                  </pic:nvPicPr>
                  <pic:blipFill>
                    <a:blip xmlns:r="http://schemas.openxmlformats.org/officeDocument/2006/relationships" r:embed="rId9"/>
                    <a:stretch>
                      <a:fillRect/>
                    </a:stretch>
                  </pic:blipFill>
                  <pic:spPr>
                    <a:xfrm>
                      <a:off x="0" y="0"/>
                      <a:ext cx="5486400" cy="3152851"/>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238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8B,D的蛋白印迹与多篇无关论文重复。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8B,D.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0480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68035" name=""/>
                    <pic:cNvPicPr>
                      <a:picLocks noChangeAspect="1"/>
                    </pic:cNvPicPr>
                  </pic:nvPicPr>
                  <pic:blipFill>
                    <a:blip xmlns:r="http://schemas.openxmlformats.org/officeDocument/2006/relationships" r:embed="rId10"/>
                    <a:stretch>
                      <a:fillRect/>
                    </a:stretch>
                  </pic:blipFill>
                  <pic:spPr>
                    <a:xfrm>
                      <a:off x="0" y="0"/>
                      <a:ext cx="5486400" cy="30480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For comparison, picking one match for 8B out of multiple options, here are FIgs 4A, 7C from Long et al (2018).</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5755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47635" name=""/>
                    <pic:cNvPicPr>
                      <a:picLocks noChangeAspect="1"/>
                    </pic:cNvPicPr>
                  </pic:nvPicPr>
                  <pic:blipFill>
                    <a:blip xmlns:r="http://schemas.openxmlformats.org/officeDocument/2006/relationships" r:embed="rId11"/>
                    <a:stretch>
                      <a:fillRect/>
                    </a:stretch>
                  </pic:blipFill>
                  <pic:spPr>
                    <a:xfrm>
                      <a:off x="0" y="0"/>
                      <a:ext cx="5486400" cy="257556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The loading control for 8D has again multiplied itself across this oeuvre of papers. Here, Fig 9c of (Zhang et al (2019)]</w:t>
      </w:r>
      <w:r>
        <w:rPr>
          <w:rStyle w:val="any"/>
          <w:rFonts w:ascii="Microsoft YaHei UI" w:eastAsia="Microsoft YaHei UI" w:hAnsi="Microsoft YaHei UI" w:cs="Microsoft YaHei UI"/>
          <w:color w:val="3E3E3E"/>
          <w:spacing w:val="9"/>
          <w:sz w:val="21"/>
          <w:szCs w:val="21"/>
        </w:rPr>
        <w:br/>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90203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25419" name=""/>
                    <pic:cNvPicPr>
                      <a:picLocks noChangeAspect="1"/>
                    </pic:cNvPicPr>
                  </pic:nvPicPr>
                  <pic:blipFill>
                    <a:blip xmlns:r="http://schemas.openxmlformats.org/officeDocument/2006/relationships" r:embed="rId12"/>
                    <a:stretch>
                      <a:fillRect/>
                    </a:stretch>
                  </pic:blipFill>
                  <pic:spPr>
                    <a:xfrm>
                      <a:off x="0" y="0"/>
                      <a:ext cx="5486400" cy="5902036"/>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At left, Fig 4B from Tian et al (2018). "Western blot analysis demonstrates that miR‐485 reduces the protein expressions of RhoA, IL‐6, TGF‐β, and p38MAPKs as well as the extent of p‐p38MAPK". At right, Fig 7C from Han et al (2018). "Gray value of cAMP, PKA and CREB1 protein bands".</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2301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16727" name=""/>
                    <pic:cNvPicPr>
                      <a:picLocks noChangeAspect="1"/>
                    </pic:cNvPicPr>
                  </pic:nvPicPr>
                  <pic:blipFill>
                    <a:blip xmlns:r="http://schemas.openxmlformats.org/officeDocument/2006/relationships" r:embed="rId13"/>
                    <a:stretch>
                      <a:fillRect/>
                    </a:stretch>
                  </pic:blipFill>
                  <pic:spPr>
                    <a:xfrm>
                      <a:off x="0" y="0"/>
                      <a:ext cx="5486400" cy="223012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6多处图像面板重复</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 A panel is duplicated. Two pairs of panels overlap.</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603261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14271" name=""/>
                    <pic:cNvPicPr>
                      <a:picLocks noChangeAspect="1"/>
                    </pic:cNvPicPr>
                  </pic:nvPicPr>
                  <pic:blipFill>
                    <a:blip xmlns:r="http://schemas.openxmlformats.org/officeDocument/2006/relationships" r:embed="rId14"/>
                    <a:stretch>
                      <a:fillRect/>
                    </a:stretch>
                  </pic:blipFill>
                  <pic:spPr>
                    <a:xfrm>
                      <a:off x="0" y="0"/>
                      <a:ext cx="5486400" cy="6032612"/>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94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于2025年3月28日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已发现多处图像重复情况。图6A中的多个面板存在重复（例如，‘Control’的顶部与‘NaHS + HG’的底部以及‘U0126’的顶部）。图1B中的‘CIRP-NC’条带似乎也与Long等人（2018年）在本文投稿前3个月提交给《Molecules and Cells》杂志（DOI: 10.14348/molcells.2018.2211）的图10D中的‘β-actin miR-374b inhibitor’条带重复。此外，在本文修订过程中，未经核实或授权就多次更改作者署名，违反了期刊政策：在第一次修订时删除了两名作者，增加了一名作者后又将其删除，并在修订后的论文中增加了Yun-Ling Hao、Fang Fang和Wen-Ying Zhang三位作者。</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此项调查由爱思唯尔的研究诚信与出版伦理团队进行，并经主编确认。作者同意撤稿。</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284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https://pubpeer.com/publications/5615E7E0E85566E1D2BDD27E5136AF#0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https://pubmed.ncbi.nlm.nih.gov/29857073/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https://www.sciencedirect.com/science/article/pii/S0024320518303199?via%3Dihub</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67&amp;idx=4&amp;sn=61c28edc66cd8512bd526fe0d17cc6c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