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学术大佬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套取科研经费上千万元获刑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2025-05-01 08:35:09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1487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3549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近日，江苏省盐城市亭湖区人民检察院提起公诉的孙某贪污案一审宣判。孙某曾在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2017 </w:t>
      </w:r>
      <w:r>
        <w:rPr>
          <w:rStyle w:val="any"/>
          <w:rFonts w:ascii="PMingLiU" w:eastAsia="PMingLiU" w:hAnsi="PMingLiU" w:cs="PMingLiU"/>
          <w:spacing w:val="8"/>
        </w:rPr>
        <w:t>年至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2020 </w:t>
      </w:r>
      <w:r>
        <w:rPr>
          <w:rStyle w:val="any"/>
          <w:rFonts w:ascii="PMingLiU" w:eastAsia="PMingLiU" w:hAnsi="PMingLiU" w:cs="PMingLiU"/>
          <w:spacing w:val="8"/>
        </w:rPr>
        <w:t>年期间，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利用担任某高校计软学院院长、深度国际化试点工作组组长的双重身份</w:t>
      </w:r>
      <w:r>
        <w:rPr>
          <w:rStyle w:val="any"/>
          <w:rFonts w:ascii="PMingLiU" w:eastAsia="PMingLiU" w:hAnsi="PMingLiU" w:cs="PMingLiU"/>
          <w:spacing w:val="8"/>
        </w:rPr>
        <w:t>，精心设计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 “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学术政绩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—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资金套取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双循环链条。</w:t>
      </w:r>
      <w:r>
        <w:rPr>
          <w:rStyle w:val="any"/>
          <w:rFonts w:ascii="PMingLiU" w:eastAsia="PMingLiU" w:hAnsi="PMingLiU" w:cs="PMingLiU"/>
          <w:spacing w:val="8"/>
        </w:rPr>
        <w:t>他通过制定偏向性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论文奖励规则、虚构合作期刊联络人、虚设客座研究员等手段，成功骗取合作期刊奖励、客座研究员奖励以及科研项目经费，涉案金额高达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1000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余万元。</w:t>
      </w:r>
      <w:r>
        <w:rPr>
          <w:rStyle w:val="any"/>
          <w:rFonts w:ascii="PMingLiU" w:eastAsia="PMingLiU" w:hAnsi="PMingLiU" w:cs="PMingLiU"/>
          <w:spacing w:val="8"/>
        </w:rPr>
        <w:t>与此同时，孙某主导刊发的国际会议论文数量虽激增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300%</w:t>
      </w:r>
      <w:r>
        <w:rPr>
          <w:rStyle w:val="any"/>
          <w:rFonts w:ascii="PMingLiU" w:eastAsia="PMingLiU" w:hAnsi="PMingLiU" w:cs="PMingLiU"/>
          <w:spacing w:val="8"/>
        </w:rPr>
        <w:t>，但质量却饱受学界质疑，与学校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提升国际学术影响力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的建设初衷背道而驰。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29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8314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案由江苏省人民检察院指定管辖，盐城市亭湖区检察院依法提起公诉。鉴于案件涉及专业性内容，部分犯罪行为隐蔽，检察机关与教育、监察机关紧密沟通配合，共同完善证据体系。承办检察官指出，需明确孙某利用个人学术资源与行政职权在骗取公共财物时的作用，其凭借制定奖励规则的行政权力，借虚设身份、虚构交易骗取公款，即便形式合法也构成贪污罪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高校作为科技、人才、创新的重要结合点，在发展新质生产力中至关重要。针对此案暴露的管理漏洞，检察机关积极推动涉案高校建立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项目申报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— </w:t>
      </w:r>
      <w:r>
        <w:rPr>
          <w:rStyle w:val="any"/>
          <w:rFonts w:ascii="PMingLiU" w:eastAsia="PMingLiU" w:hAnsi="PMingLiU" w:cs="PMingLiU"/>
          <w:spacing w:val="8"/>
        </w:rPr>
        <w:t>过程监管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— </w:t>
      </w:r>
      <w:r>
        <w:rPr>
          <w:rStyle w:val="any"/>
          <w:rFonts w:ascii="PMingLiU" w:eastAsia="PMingLiU" w:hAnsi="PMingLiU" w:cs="PMingLiU"/>
          <w:spacing w:val="8"/>
        </w:rPr>
        <w:t>绩效评估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全周期管理系统，对学术评价、职称评审等关键环节进行动态监测。还开展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清风校园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专项行动，组织职务犯罪案例巡讲，覆盖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3000 </w:t>
      </w:r>
      <w:r>
        <w:rPr>
          <w:rStyle w:val="any"/>
          <w:rFonts w:ascii="PMingLiU" w:eastAsia="PMingLiU" w:hAnsi="PMingLiU" w:cs="PMingLiU"/>
          <w:spacing w:val="8"/>
        </w:rPr>
        <w:t>余名教职工，并开发项目综合管理平台，强化项目管理，提升科研管理绩效。此次判决及后续举措，为高校科研经费管理及廉政建设敲响警钟，意义深远。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https://news.china.com/socialgd/10000169/20250430/48279744.html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2424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1068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311&amp;idx=1&amp;sn=be4d13609e3750bfe3b98a6e8adff1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