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关注！中国医科大学附属盛京医院一研究被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20:11:55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74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https://www.pubpeer.com/publications/2B164052C4740421FBEC307F130981#0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Impact of apatinib in combination with osimertinib on EGFR T790M-positive lung adenocarcinoma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阿帕替尼联合奥希替尼对表皮生长因子受体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T790M </w:t>
      </w:r>
      <w:r>
        <w:rPr>
          <w:rStyle w:val="any"/>
          <w:rFonts w:ascii="PMingLiU" w:eastAsia="PMingLiU" w:hAnsi="PMingLiU" w:cs="PMingLiU"/>
          <w:spacing w:val="8"/>
        </w:rPr>
        <w:t>阳性肺腺癌的影响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Yang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中国医科大学附属盛京医院肿瘤科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Cheng-Bo Han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中国医科大学附属盛京医院肿瘤科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12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29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76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0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https://www.pubpeer.com/publications/2B164052C4740421FBEC307F130981#0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85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59&amp;idx=1&amp;sn=bdacee7c7a54bc06ad737b289249b7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