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Yinghui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团队再曝数据问题：大连医科大学附属医院多作者三篇论文受审查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54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24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2017年6月1日，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Yinghui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（徐英辉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Xiaochi Ma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马骁驰）在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Dehydrocostus lactone, a natural sesquiterpene lactone, suppresses the biological characteristics of glioma, through inhibition of the NF-κB/COX-2 signaling pathway by targeting IKKβ”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04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43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2017年11月15日，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Yinghui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（徐英辉）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Curcumin potentiates the potent antitumor activity of ACNU against glioblastoma by suppressing the PI3K/AKT and NF-κB/COX-2 signaling pathways”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74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1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2018年3月26日，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大连医科大学第二附属医院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Bo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（张波）、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Hongjiang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（王洪江）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Cancer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Marinobufagenin inhibits glioma growth through sodium pump α1 subunit and ERK signaling-mediated mitochondrial apoptotic pathway”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2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7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文章一中的图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（更正版）、文章二的图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5E 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（已撤稿）和文章三的图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4A 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出现明显重复。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267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14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https://pubmed.ncbi.nlm.nih.gov/28670490/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https://pmc.ncbi.nlm.nih.gov/articles/PMC5695266/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https://pmc.ncbi.nlm.nih.gov/articles/PMC5943480/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50&amp;idx=1&amp;sn=e3a67bf09489caec7214da33bdd25e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