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892514"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89272"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