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川北医学院附属医院骨科吴俊学团队论文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翻车，多图被指与多篇文献重合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2025-05-01 00:00:05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58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MiR-511 mimic transfection inhibits the proliferation, invasion of osteosarcoma cells and reduces metastatic osteosarcoma tumor burden in nude mice via targeting MAPK1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川北医学院附属医院骨科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 xml:space="preserve"> Lu Chen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Junxue Wu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吴俊学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1"/>
          <w:szCs w:val="21"/>
        </w:rPr>
        <w:t>Cancer biomarkers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69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81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88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与另外四篇论文出现重复。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Clockwise from upper left: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 4A from "Long non-coding RNA LSINCT5 inactivates Wnt/β-catenin pathway to regulate MCF-7 cell proliferation and motility through targeting the miR-30a" (Zhang &amp; Song 2020).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 2F from "Long noncoding RNA LINC00460 conduces to tumor growth and metastasis of hepatocellular carcinoma through miR-342-3p-dependent AGR2 up-regulation" (Hong et al 2020).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 4A.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 3A from "Ligustrazine inhibits the viability and motility of colon cancer cells" (Chen et al 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51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For comparison with Fig 6A-D from "GANT61 plays antitumor effects by inducing oxidative stress through the miRNA‐1286/RAB31 axis in osteosarcoma" (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Zhang &amp; Chu 2020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7916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327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Zhang et al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5B.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4D from "MIER3 suppresses the progression of non-small cell lung cancer by inhibiting Wnt/β-Catenin pathway and histone acetyltransferase activity" (Zhang et al 2020).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73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11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Li et al 2020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Zhang et al 2020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Left to right: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 4D.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 4B from "MiR-181c-5p Mitigates Tumorigenesis in Cervical Squamous Cell Carcinoma via Targeting Glycogen Synthase Kinase 3β Interaction Protein (GSKIP)" (Li et al 2020).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 2B from "miR-326 inhibits the cell proliferation and cancer stem cell-like property of cervical cancer in vitro and oncogenesis in vivo via targeting TCF4" (Zhang et al 2020).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8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https://pubpeer.com/publications/3C4F09F1E98EFD20E8B9F08516C249#3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https://pubmed.ncbi.nlm.nih.gov/31524148/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536&amp;idx=1&amp;sn=489bb828c8b420869a8faa6c53c23b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