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07:44:19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Asiatic acid protests against myocardial ischemia/reperfusion injury via modulation of glycometabolism in rat cardiomyocyte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Drug Design, Development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30498333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10.2147/dddt.s175116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Dai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Ziwei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Minxue Quan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Yanni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Yunman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Hong-Bo Xin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Yisong Qian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Translational Medicine, Nanchang University, Nanchang 330031, China, ;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Pharmacy, The First Affiliated Hospital of Nanchang University, Nanchang 330046,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Physiology, China Pharmaceutical University, Nanjing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Pteris Mucronulata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In Figure 4, why the western blotting band of GAPDH was the same in Figure 4A and 4B? Please have the authors to provide the original uncropped gels.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40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4501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4&amp;idx=2&amp;sn=e35bcc93ff41d1b39c1b335917523a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