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中国科学院大学华美医院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Translational Cancer Research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一只鱼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严肃科研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21:41:26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900" w:right="900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888888"/>
          <w:spacing w:val="8"/>
          <w:sz w:val="30"/>
          <w:szCs w:val="30"/>
        </w:rPr>
        <w:t>“</w:t>
      </w:r>
      <w:r>
        <w:rPr>
          <w:rStyle w:val="any"/>
          <w:rFonts w:ascii="PMingLiU" w:eastAsia="PMingLiU" w:hAnsi="PMingLiU" w:cs="PMingLiU"/>
          <w:color w:val="888888"/>
          <w:spacing w:val="8"/>
        </w:rPr>
        <w:t>秉持严谨、深入、持续、开放与创新的态度，尊重他人成果，携手交流共进，推动科研发展。</w:t>
      </w:r>
      <w:r>
        <w:rPr>
          <w:rStyle w:val="any"/>
          <w:rFonts w:ascii="Times New Roman" w:eastAsia="Times New Roman" w:hAnsi="Times New Roman" w:cs="Times New Roman"/>
          <w:b/>
          <w:bCs/>
          <w:color w:val="888888"/>
          <w:spacing w:val="8"/>
          <w:sz w:val="30"/>
          <w:szCs w:val="30"/>
        </w:rPr>
        <w:t>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780" w:right="780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450" w:right="450"/>
        <w:rPr>
          <w:rStyle w:val="any"/>
          <w:rFonts w:ascii="Microsoft YaHei UI" w:eastAsia="Microsoft YaHei UI" w:hAnsi="Microsoft YaHei UI" w:cs="Microsoft YaHei UI"/>
          <w:color w:val="F8F7FF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FFFF"/>
          <w:spacing w:val="9"/>
          <w:shd w:val="clear" w:color="auto" w:fill="452724"/>
        </w:rPr>
        <w:t> Research Frontline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450" w:right="450"/>
        <w:rPr>
          <w:rStyle w:val="any"/>
          <w:rFonts w:ascii="Microsoft YaHei UI" w:eastAsia="Microsoft YaHei UI" w:hAnsi="Microsoft YaHei UI" w:cs="Microsoft YaHei UI"/>
          <w:color w:val="F8F7FF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452724"/>
          <w:spacing w:val="9"/>
        </w:rPr>
        <w:t>科研前线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192" w:lineRule="atLeast"/>
        <w:ind w:left="600" w:right="600"/>
        <w:jc w:val="center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1AAD19"/>
          <w:spacing w:val="8"/>
          <w:sz w:val="36"/>
          <w:szCs w:val="36"/>
        </w:rPr>
        <w:t>01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192" w:lineRule="atLeast"/>
        <w:ind w:left="600" w:right="600"/>
        <w:jc w:val="center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1AAD19"/>
          <w:spacing w:val="0"/>
          <w:sz w:val="30"/>
          <w:szCs w:val="30"/>
        </w:rPr>
        <w:t>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问题论文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2860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279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CK1α-targeting inhibits primary and metastatic colorectal cancer in vitro, ex vivo, in cell-line-derived and patient-derived tumor xenograft mice models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期刊：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Translational Cancer Research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中国科学院大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学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宁波生命健康产业研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究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发表时间：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2020年3月31日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DOI: 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 10.21037/tcr.2020.02.13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研究摘要：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0" w:after="150" w:line="378" w:lineRule="atLeast"/>
        <w:ind w:left="300" w:right="300" w:firstLine="0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333333"/>
          <w:spacing w:val="0"/>
          <w:sz w:val="21"/>
          <w:szCs w:val="21"/>
        </w:rPr>
        <w:t>Background: 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Colorectal cancer (CRC) remains a leading cause of cancer-related deaths globally. Despite improved understanding of its initiation and progression, and advances in diagnostic or therapeutic strategies, the treatment of metastatic CRC remains a clinical challenge, necessitating identification of novel efficacious therapeutics with little/no toxicity to non-tumor colorectal cells. The present study investigated the effect of </w:t>
      </w:r>
      <w:r>
        <w:rPr>
          <w:rStyle w:val="any"/>
          <w:rFonts w:ascii="Arial" w:eastAsia="Arial" w:hAnsi="Arial" w:cs="Arial"/>
          <w:b w:val="0"/>
          <w:bCs w:val="0"/>
          <w:i/>
          <w:iCs/>
          <w:caps w:val="0"/>
          <w:color w:val="333333"/>
          <w:spacing w:val="0"/>
          <w:sz w:val="21"/>
          <w:szCs w:val="21"/>
        </w:rPr>
        <w:t>Epiblastin A,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 an adenosine triphosphate (ATP)-mediated competitive inhibitor of casein kinase 1α (CK1α) on the viability, proliferation, and oncogenicity of CRC cells.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br/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背景：结直肠癌（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CRC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）是全球癌症相关死亡的主要原因。尽管对其发生和发展的理解有所提高，以及诊断或治疗策略的进步，但转移性结直肠癌的治疗仍然是一个临床挑战，需要识别具有新疗效且对非肿瘤结直肠细胞毒性小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/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无的药物。本研究调查了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 xml:space="preserve"> Epiblastin A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对结直肠癌细胞存活、增殖和致癌性的影响，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 xml:space="preserve">Epiblastin A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是一种腺苷三磷酸（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ATP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）介导的酪蛋白激酶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 xml:space="preserve"> 1α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（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CK1α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）竞争性抑制剂。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0" w:after="150" w:line="378" w:lineRule="atLeast"/>
        <w:ind w:left="300" w:right="300" w:firstLine="0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333333"/>
          <w:spacing w:val="0"/>
          <w:sz w:val="21"/>
          <w:szCs w:val="21"/>
        </w:rPr>
        <w:t>Methods: 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Comparative evaluation of the effect of </w:t>
      </w:r>
      <w:r>
        <w:rPr>
          <w:rStyle w:val="any"/>
          <w:rFonts w:ascii="Arial" w:eastAsia="Arial" w:hAnsi="Arial" w:cs="Arial"/>
          <w:b w:val="0"/>
          <w:bCs w:val="0"/>
          <w:i/>
          <w:iCs/>
          <w:caps w:val="0"/>
          <w:color w:val="333333"/>
          <w:spacing w:val="0"/>
          <w:sz w:val="21"/>
          <w:szCs w:val="21"/>
        </w:rPr>
        <w:t>Epiblastin A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 on </w:t>
      </w:r>
      <w:r>
        <w:rPr>
          <w:rStyle w:val="any"/>
          <w:rFonts w:ascii="Arial" w:eastAsia="Arial" w:hAnsi="Arial" w:cs="Arial"/>
          <w:b w:val="0"/>
          <w:bCs w:val="0"/>
          <w:i/>
          <w:iCs/>
          <w:caps w:val="0"/>
          <w:color w:val="333333"/>
          <w:spacing w:val="0"/>
          <w:sz w:val="21"/>
          <w:szCs w:val="21"/>
        </w:rPr>
        <w:t>CK1α i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n fetal human normal colonic mucosa (FHC) and CRC (HCT116, HT29, DLD1) cell lines, using western blot, immunohistochemical staining, real-time polymerase chain reaction (RT-PCR), and sulforhodamine B (SRB) cytotoxicity assays. Primary culture cells, patient-derived xenograft (PDX), and tumor xenograft mice CRC models were also employed. Kaplan-Meier plots were used for survival analysis of our CRC cohort.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br/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方法：采用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 xml:space="preserve"> Western blot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、免疫组化染色、实时聚合酶链反应（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RT-PCR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）和磺基罗丹明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 xml:space="preserve"> B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（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SRB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）细胞毒性试验，比较评估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 xml:space="preserve"> Epiblastin A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对胎儿人正常结肠黏膜（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FHC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）和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 xml:space="preserve"> CRC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（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HCT116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、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HT29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、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DLD1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）细胞系中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 xml:space="preserve"> CK1α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的影响。同时，还使用了原代培养细胞、患者来源的异种移植（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PDX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）和肿瘤异种移植小鼠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 xml:space="preserve"> CRC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模型。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 xml:space="preserve">Kaplan-Meier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图用于分析我们的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 xml:space="preserve"> CRC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队列的生存率。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0" w:after="150" w:line="378" w:lineRule="atLeast"/>
        <w:ind w:left="300" w:right="300" w:firstLine="0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333333"/>
          <w:spacing w:val="0"/>
          <w:sz w:val="21"/>
          <w:szCs w:val="21"/>
        </w:rPr>
        <w:t>Results: 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CRC cells aberrantly express CK1α at mRNA and protein levels. This overexpression of CK1α is strongly associated with worse 5-year overall survival (OS) in patients with CRC. </w:t>
      </w:r>
      <w:r>
        <w:rPr>
          <w:rStyle w:val="any"/>
          <w:rFonts w:ascii="Arial" w:eastAsia="Arial" w:hAnsi="Arial" w:cs="Arial"/>
          <w:b w:val="0"/>
          <w:bCs w:val="0"/>
          <w:i/>
          <w:iCs/>
          <w:caps w:val="0"/>
          <w:color w:val="333333"/>
          <w:spacing w:val="0"/>
          <w:sz w:val="21"/>
          <w:szCs w:val="21"/>
        </w:rPr>
        <w:t>Epiblastin A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 inhibits CK1α and compared to its apparent non-effect on FHC cells regardless of concentration, it elicits significant dose-dependent inhibition of the viability of HT29, HCT116, and DLD1 cells with a 48 h IC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vertAlign w:val="baseline"/>
        </w:rPr>
        <w:t>50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 of 6.8, 5.0, and 3.2 μM, respectively. The expression of CK1α in CRC primary cultures and PDX samples, significantly correlated with Ki-67 expression, and both were attenuated by </w:t>
      </w:r>
      <w:r>
        <w:rPr>
          <w:rStyle w:val="any"/>
          <w:rFonts w:ascii="Arial" w:eastAsia="Arial" w:hAnsi="Arial" w:cs="Arial"/>
          <w:b w:val="0"/>
          <w:bCs w:val="0"/>
          <w:i/>
          <w:iCs/>
          <w:caps w:val="0"/>
          <w:color w:val="333333"/>
          <w:spacing w:val="0"/>
          <w:sz w:val="21"/>
          <w:szCs w:val="21"/>
        </w:rPr>
        <w:t>Epiblastin A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. We also observed that the effect of 5 mg/kg </w:t>
      </w:r>
      <w:r>
        <w:rPr>
          <w:rStyle w:val="any"/>
          <w:rFonts w:ascii="Arial" w:eastAsia="Arial" w:hAnsi="Arial" w:cs="Arial"/>
          <w:b w:val="0"/>
          <w:bCs w:val="0"/>
          <w:i/>
          <w:iCs/>
          <w:caps w:val="0"/>
          <w:color w:val="333333"/>
          <w:spacing w:val="0"/>
          <w:sz w:val="21"/>
          <w:szCs w:val="21"/>
        </w:rPr>
        <w:t>Epiblastin A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 on tumor volume, and body weight in the CRC PDX mice models, was similar to that of 5 mg/kg Cetuximab over the time-course of our </w:t>
      </w:r>
      <w:r>
        <w:rPr>
          <w:rStyle w:val="any"/>
          <w:rFonts w:ascii="Arial" w:eastAsia="Arial" w:hAnsi="Arial" w:cs="Arial"/>
          <w:b w:val="0"/>
          <w:bCs w:val="0"/>
          <w:i/>
          <w:iCs/>
          <w:caps w:val="0"/>
          <w:color w:val="333333"/>
          <w:spacing w:val="0"/>
          <w:sz w:val="21"/>
          <w:szCs w:val="21"/>
        </w:rPr>
        <w:t>in vivo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 study. In DLD1-derived tumor xenograft mice, </w:t>
      </w:r>
      <w:r>
        <w:rPr>
          <w:rStyle w:val="any"/>
          <w:rFonts w:ascii="Arial" w:eastAsia="Arial" w:hAnsi="Arial" w:cs="Arial"/>
          <w:b w:val="0"/>
          <w:bCs w:val="0"/>
          <w:i/>
          <w:iCs/>
          <w:caps w:val="0"/>
          <w:color w:val="333333"/>
          <w:spacing w:val="0"/>
          <w:sz w:val="21"/>
          <w:szCs w:val="21"/>
        </w:rPr>
        <w:t>Epiblastin A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 with very mild effect on mice body weight, suppressed tumor volume and tumor weight in a CK1α-dependent manner (P=0.024).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br/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结果：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 xml:space="preserve">CRC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细胞在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 xml:space="preserve"> mRNA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和蛋白质水平上异常表达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 xml:space="preserve"> CK1α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。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CK1α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的过表达与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 xml:space="preserve"> CRC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患者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 xml:space="preserve"> 5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年总生存率（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OS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）较差密切相关。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 xml:space="preserve">Epiblastin A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抑制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 xml:space="preserve"> CK1α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，与它在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 xml:space="preserve"> FHC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细胞中无论浓度如何均无显著效果相比，它对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 xml:space="preserve"> HT29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、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 xml:space="preserve">HCT116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 xml:space="preserve"> DLD1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细胞的存活率产生了显著的剂量依赖性抑制，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 xml:space="preserve">48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小时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 xml:space="preserve"> IC50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分别为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 xml:space="preserve"> 6.8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、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 xml:space="preserve">5.0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 xml:space="preserve"> 3.2 μM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。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 xml:space="preserve">CRC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原代培养和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 xml:space="preserve"> PDX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样本中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 xml:space="preserve"> CK1α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的表达与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 xml:space="preserve"> Ki-67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表达显著相关，并且两者均被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 xml:space="preserve"> Epiblastin A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所减弱。我们还观察到，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 xml:space="preserve">5 mg/kg Epiblastin A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对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 xml:space="preserve"> CRC PDX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小鼠模型肿瘤体积和体重的影响，在我们的体内研究过程中与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 xml:space="preserve"> 5 mg/kg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西妥昔单抗相似。在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 xml:space="preserve"> DLD1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来源的肿瘤异种移植小鼠中，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 xml:space="preserve">Epiblastin A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对小鼠体重的影响非常轻微，以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 xml:space="preserve"> CK1α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依赖的方式抑制肿瘤体积和肿瘤重量（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P=0.024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）。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0" w:after="150" w:line="378" w:lineRule="atLeast"/>
        <w:ind w:left="300" w:right="300" w:firstLine="0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333333"/>
          <w:spacing w:val="0"/>
          <w:sz w:val="21"/>
          <w:szCs w:val="21"/>
        </w:rPr>
        <w:t>Conclusions: 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Our results demonstrate the efficacy of </w:t>
      </w:r>
      <w:r>
        <w:rPr>
          <w:rStyle w:val="any"/>
          <w:rFonts w:ascii="Arial" w:eastAsia="Arial" w:hAnsi="Arial" w:cs="Arial"/>
          <w:b w:val="0"/>
          <w:bCs w:val="0"/>
          <w:i/>
          <w:iCs/>
          <w:caps w:val="0"/>
          <w:color w:val="333333"/>
          <w:spacing w:val="0"/>
          <w:sz w:val="21"/>
          <w:szCs w:val="21"/>
        </w:rPr>
        <w:t>Epiblastin A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 in CRC and its potential as a putative small-molecule inhibitor of </w:t>
      </w:r>
      <w:r>
        <w:rPr>
          <w:rStyle w:val="any"/>
          <w:rFonts w:ascii="Arial" w:eastAsia="Arial" w:hAnsi="Arial" w:cs="Arial"/>
          <w:b w:val="0"/>
          <w:bCs w:val="0"/>
          <w:i/>
          <w:iCs/>
          <w:caps w:val="0"/>
          <w:color w:val="333333"/>
          <w:spacing w:val="0"/>
          <w:sz w:val="21"/>
          <w:szCs w:val="21"/>
        </w:rPr>
        <w:t>CK1α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 and Ki-67 signaling, which are relevant in the CRC initiation, progression and prognosis.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br/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结论：我们的结果表明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 xml:space="preserve"> Epiblastin A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在结直肠癌（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CRC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）中的疗效及其作为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 xml:space="preserve"> CK1α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 xml:space="preserve"> Ki-67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信号通路潜在的小分子抑制剂的潜力，这些通路与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 xml:space="preserve"> CRC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的发生、发展和预后相关。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192" w:lineRule="atLeast"/>
        <w:ind w:left="750" w:right="75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color w:val="1AAD19"/>
          <w:spacing w:val="9"/>
          <w:sz w:val="36"/>
          <w:szCs w:val="36"/>
        </w:rPr>
        <w:t>02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192" w:lineRule="atLeast"/>
        <w:ind w:left="750" w:right="75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color w:val="1AAD19"/>
          <w:spacing w:val="0"/>
          <w:sz w:val="30"/>
          <w:szCs w:val="30"/>
        </w:rPr>
        <w:t>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具体说明</w:t>
      </w:r>
    </w:p>
    <w:p>
      <w:pPr>
        <w:shd w:val="clear" w:color="auto" w:fill="FFFFFF"/>
        <w:spacing w:before="0" w:after="0" w:line="384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</w:rPr>
        <w:drawing>
          <wp:inline>
            <wp:extent cx="5486400" cy="61041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2423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10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450" w:right="45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</w:rPr>
        <w:br/>
      </w:r>
      <w:r>
        <w:rPr>
          <w:rStyle w:val="any"/>
          <w:rFonts w:ascii="PMingLiU" w:eastAsia="PMingLiU" w:hAnsi="PMingLiU" w:cs="PMingLiU"/>
          <w:b/>
          <w:bCs/>
          <w:color w:val="3E3E3E"/>
          <w:spacing w:val="9"/>
          <w:sz w:val="21"/>
          <w:szCs w:val="21"/>
        </w:rPr>
        <w:t>参考信息</w:t>
      </w:r>
      <w:r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18"/>
          <w:szCs w:val="18"/>
        </w:rPr>
        <w:t>https://tcr.amegroups.org/article/view/37546/html</w:t>
      </w:r>
    </w:p>
    <w:p>
      <w:pPr>
        <w:shd w:val="clear" w:color="auto" w:fill="FFFFFF"/>
        <w:spacing w:before="0" w:line="420" w:lineRule="atLeast"/>
        <w:ind w:left="450" w:right="450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18"/>
          <w:szCs w:val="18"/>
        </w:rPr>
        <w:t>https://pubpeer.com/publications/DF40EE52780D7AE7C3D55C92D7CA1A#0</w:t>
      </w:r>
    </w:p>
    <w:p>
      <w:pPr>
        <w:pStyle w:val="anyParagraph"/>
        <w:numPr>
          <w:ilvl w:val="0"/>
          <w:numId w:val="1"/>
        </w:numPr>
        <w:shd w:val="clear" w:color="auto" w:fill="FFFFFF"/>
        <w:spacing w:before="150" w:after="0" w:line="390" w:lineRule="atLeast"/>
        <w:ind w:left="840" w:right="465" w:hanging="197"/>
        <w:jc w:val="left"/>
        <w:rPr>
          <w:rStyle w:val="any"/>
          <w:rFonts w:ascii="Times New Roman" w:eastAsia="Times New Roman" w:hAnsi="Times New Roman" w:cs="Times New Roman"/>
          <w:b/>
          <w:bCs/>
          <w:color w:val="333333"/>
          <w:spacing w:val="9"/>
          <w:sz w:val="21"/>
          <w:szCs w:val="21"/>
        </w:rPr>
      </w:pPr>
    </w:p>
    <w:p>
      <w:pPr>
        <w:pStyle w:val="anyParagraph"/>
        <w:numPr>
          <w:ilvl w:val="0"/>
          <w:numId w:val="1"/>
        </w:numPr>
        <w:shd w:val="clear" w:color="auto" w:fill="FFFFFF"/>
        <w:spacing w:before="150" w:after="0" w:line="390" w:lineRule="atLeast"/>
        <w:ind w:left="840" w:right="465" w:hanging="197"/>
        <w:jc w:val="left"/>
        <w:rPr>
          <w:rStyle w:val="any"/>
          <w:rFonts w:ascii="Times New Roman" w:eastAsia="Times New Roman" w:hAnsi="Times New Roman" w:cs="Times New Roman"/>
          <w:b/>
          <w:bCs/>
          <w:color w:val="333333"/>
          <w:spacing w:val="9"/>
          <w:sz w:val="21"/>
          <w:szCs w:val="21"/>
        </w:rPr>
      </w:pPr>
    </w:p>
    <w:p>
      <w:pPr>
        <w:pStyle w:val="anyParagraph"/>
        <w:numPr>
          <w:ilvl w:val="0"/>
          <w:numId w:val="1"/>
        </w:numPr>
        <w:shd w:val="clear" w:color="auto" w:fill="FFFFFF"/>
        <w:spacing w:before="150" w:after="0" w:line="390" w:lineRule="atLeast"/>
        <w:ind w:left="840" w:right="465" w:hanging="197"/>
        <w:jc w:val="left"/>
        <w:rPr>
          <w:rStyle w:val="any"/>
          <w:rFonts w:ascii="Times New Roman" w:eastAsia="Times New Roman" w:hAnsi="Times New Roman" w:cs="Times New Roman"/>
          <w:b/>
          <w:bCs/>
          <w:color w:val="333333"/>
          <w:spacing w:val="9"/>
          <w:sz w:val="21"/>
          <w:szCs w:val="21"/>
        </w:rPr>
      </w:pPr>
    </w:p>
    <w:p>
      <w:pPr>
        <w:pStyle w:val="anyParagraph"/>
        <w:numPr>
          <w:ilvl w:val="0"/>
          <w:numId w:val="1"/>
        </w:numPr>
        <w:shd w:val="clear" w:color="auto" w:fill="FFFFFF"/>
        <w:spacing w:before="150" w:after="0" w:line="390" w:lineRule="atLeast"/>
        <w:ind w:left="840" w:right="465" w:hanging="197"/>
        <w:jc w:val="left"/>
        <w:rPr>
          <w:rStyle w:val="any"/>
          <w:rFonts w:ascii="Times New Roman" w:eastAsia="Times New Roman" w:hAnsi="Times New Roman" w:cs="Times New Roman"/>
          <w:b/>
          <w:bCs/>
          <w:color w:val="333333"/>
          <w:spacing w:val="9"/>
          <w:sz w:val="21"/>
          <w:szCs w:val="21"/>
        </w:rPr>
      </w:pPr>
    </w:p>
    <w:p>
      <w:pPr>
        <w:pStyle w:val="anyParagraph"/>
        <w:numPr>
          <w:ilvl w:val="0"/>
          <w:numId w:val="1"/>
        </w:numPr>
        <w:shd w:val="clear" w:color="auto" w:fill="FFFFFF"/>
        <w:spacing w:before="150" w:after="0" w:line="390" w:lineRule="atLeast"/>
        <w:ind w:left="840" w:right="465" w:hanging="197"/>
        <w:jc w:val="left"/>
        <w:rPr>
          <w:rStyle w:val="any"/>
          <w:rFonts w:ascii="Times New Roman" w:eastAsia="Times New Roman" w:hAnsi="Times New Roman" w:cs="Times New Roman"/>
          <w:b/>
          <w:bCs/>
          <w:color w:val="333333"/>
          <w:spacing w:val="9"/>
          <w:sz w:val="21"/>
          <w:szCs w:val="21"/>
        </w:rPr>
      </w:pPr>
    </w:p>
    <w:p>
      <w:pPr>
        <w:shd w:val="clear" w:color="auto" w:fill="FFFFFF"/>
        <w:spacing w:before="0" w:after="150" w:line="390" w:lineRule="atLeast"/>
        <w:ind w:left="840" w:right="465"/>
        <w:jc w:val="left"/>
        <w:rPr>
          <w:rStyle w:val="any"/>
          <w:rFonts w:ascii="Consolas" w:eastAsia="Consolas" w:hAnsi="Consolas" w:cs="Consolas"/>
          <w:b/>
          <w:bCs/>
          <w:color w:val="333333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333333"/>
          <w:spacing w:val="9"/>
          <w:sz w:val="21"/>
          <w:szCs w:val="21"/>
        </w:rPr>
        <w:t>本平台对于科研问题的探讨，始终保持严谨、深入、持续、开放和创新的态度。</w:t>
      </w:r>
    </w:p>
    <w:p>
      <w:pPr>
        <w:shd w:val="clear" w:color="auto" w:fill="FFFFFF"/>
        <w:spacing w:before="0" w:after="150" w:line="390" w:lineRule="atLeast"/>
        <w:ind w:left="840" w:right="465"/>
        <w:jc w:val="left"/>
        <w:rPr>
          <w:rStyle w:val="any"/>
          <w:rFonts w:ascii="Consolas" w:eastAsia="Consolas" w:hAnsi="Consolas" w:cs="Consolas"/>
          <w:b/>
          <w:bCs/>
          <w:color w:val="333333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333333"/>
          <w:spacing w:val="9"/>
          <w:sz w:val="21"/>
          <w:szCs w:val="21"/>
        </w:rPr>
        <w:t>所有推文信源，均来源于</w:t>
      </w:r>
      <w:r>
        <w:rPr>
          <w:rStyle w:val="any"/>
          <w:rFonts w:ascii="Consolas" w:eastAsia="Consolas" w:hAnsi="Consolas" w:cs="Consolas"/>
          <w:b/>
          <w:bCs/>
          <w:color w:val="333333"/>
          <w:spacing w:val="9"/>
          <w:sz w:val="21"/>
          <w:szCs w:val="21"/>
        </w:rPr>
        <w:t>pubpeer</w:t>
      </w:r>
      <w:r>
        <w:rPr>
          <w:rStyle w:val="any"/>
          <w:rFonts w:ascii="PMingLiU" w:eastAsia="PMingLiU" w:hAnsi="PMingLiU" w:cs="PMingLiU"/>
          <w:b/>
          <w:bCs/>
          <w:color w:val="333333"/>
          <w:spacing w:val="9"/>
          <w:sz w:val="21"/>
          <w:szCs w:val="21"/>
        </w:rPr>
        <w:t>、</w:t>
      </w:r>
      <w:r>
        <w:rPr>
          <w:rStyle w:val="any"/>
          <w:rFonts w:ascii="Consolas" w:eastAsia="Consolas" w:hAnsi="Consolas" w:cs="Consolas"/>
          <w:b/>
          <w:bCs/>
          <w:color w:val="333333"/>
          <w:spacing w:val="9"/>
          <w:sz w:val="21"/>
          <w:szCs w:val="21"/>
        </w:rPr>
        <w:t>For Better Science</w:t>
      </w:r>
      <w:r>
        <w:rPr>
          <w:rStyle w:val="any"/>
          <w:rFonts w:ascii="PMingLiU" w:eastAsia="PMingLiU" w:hAnsi="PMingLiU" w:cs="PMingLiU"/>
          <w:b/>
          <w:bCs/>
          <w:color w:val="333333"/>
          <w:spacing w:val="9"/>
          <w:sz w:val="21"/>
          <w:szCs w:val="21"/>
        </w:rPr>
        <w:t>等网站公开质疑。</w:t>
      </w:r>
    </w:p>
    <w:p>
      <w:pPr>
        <w:shd w:val="clear" w:color="auto" w:fill="FFFFFF"/>
        <w:spacing w:before="0" w:after="150" w:line="390" w:lineRule="atLeast"/>
        <w:ind w:left="840" w:right="465"/>
        <w:jc w:val="left"/>
        <w:rPr>
          <w:rStyle w:val="any"/>
          <w:rFonts w:ascii="Consolas" w:eastAsia="Consolas" w:hAnsi="Consolas" w:cs="Consolas"/>
          <w:b/>
          <w:bCs/>
          <w:color w:val="333333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333333"/>
          <w:spacing w:val="9"/>
          <w:sz w:val="21"/>
          <w:szCs w:val="21"/>
        </w:rPr>
        <w:t>我们从来没有、也永远不会主动查重论文并去</w:t>
      </w:r>
      <w:r>
        <w:rPr>
          <w:rStyle w:val="any"/>
          <w:rFonts w:ascii="Consolas" w:eastAsia="Consolas" w:hAnsi="Consolas" w:cs="Consolas"/>
          <w:b/>
          <w:bCs/>
          <w:color w:val="333333"/>
          <w:spacing w:val="9"/>
          <w:sz w:val="21"/>
          <w:szCs w:val="21"/>
        </w:rPr>
        <w:t>pubpeer</w:t>
      </w:r>
      <w:r>
        <w:rPr>
          <w:rStyle w:val="any"/>
          <w:rFonts w:ascii="PMingLiU" w:eastAsia="PMingLiU" w:hAnsi="PMingLiU" w:cs="PMingLiU"/>
          <w:b/>
          <w:bCs/>
          <w:color w:val="333333"/>
          <w:spacing w:val="9"/>
          <w:sz w:val="21"/>
          <w:szCs w:val="21"/>
        </w:rPr>
        <w:t>上质疑。</w:t>
      </w:r>
    </w:p>
    <w:p>
      <w:pPr>
        <w:shd w:val="clear" w:color="auto" w:fill="FFFFFF"/>
        <w:spacing w:before="0" w:after="150" w:line="390" w:lineRule="atLeast"/>
        <w:ind w:left="840" w:right="465"/>
        <w:jc w:val="left"/>
        <w:rPr>
          <w:rStyle w:val="any"/>
          <w:rFonts w:ascii="Consolas" w:eastAsia="Consolas" w:hAnsi="Consolas" w:cs="Consolas"/>
          <w:b/>
          <w:bCs/>
          <w:color w:val="333333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333333"/>
          <w:spacing w:val="9"/>
          <w:sz w:val="21"/>
          <w:szCs w:val="21"/>
        </w:rPr>
        <w:t>我们尊重他人的研究成果和贡献，通过交流和合作，共同推动科研领域的进步和</w:t>
      </w:r>
    </w:p>
    <w:p>
      <w:pPr>
        <w:shd w:val="clear" w:color="auto" w:fill="FFFFFF"/>
        <w:spacing w:before="0" w:after="150" w:line="390" w:lineRule="atLeast"/>
        <w:ind w:left="840" w:right="465"/>
        <w:jc w:val="left"/>
        <w:rPr>
          <w:rStyle w:val="any"/>
          <w:rFonts w:ascii="Consolas" w:eastAsia="Consolas" w:hAnsi="Consolas" w:cs="Consolas"/>
          <w:b/>
          <w:bCs/>
          <w:color w:val="333333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333333"/>
          <w:spacing w:val="9"/>
          <w:sz w:val="21"/>
          <w:szCs w:val="21"/>
        </w:rPr>
        <w:t>发展。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UxODcwODMzMw==&amp;mid=2247484087&amp;idx=1&amp;sn=22937ac19244bc73a4edceafa353c7b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