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孙宇团队刚发的高影响因子文章存在不同文章间图片交叉重复使用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10:41:35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诚信科研通过筛库，发现2025年4月23日中科院上海营养健康研究所孙宇团队在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Advanced Science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Targeting Senescence with Apigenin Improves Chemotherapeutic Efficacy and Ameliorates Age-Related Conditions in Mice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”的研究论文（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简称SY15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，2023年7月20日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中科院上海营养健康研究所孙宇团队在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Aging Cell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Rutin is a Potent Senomorphic Agent to Target Senescent Cells and Can Improve Chemotherapeutic Efficacy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”的研究论文（简称SY5）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，文章间存在2对图片交叉重复使用（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暂时只是检测过细胞迁移及侵袭实验，后续会检测其他所有的图片类型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72185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47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2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1284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5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191125" cy="13811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11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对细胞迁移进行全库筛查，iFigures发现文章间存在2对图片交叉重复使用：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SY15-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5C-2_SY5-4C-5出现部分重叠，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SY15-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5C-13与SY5-4C-15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出现部分重叠，但是代表明显不一样的实验结果。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49158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49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49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与杂志社联系更正文章重复的图片/撤回文章。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在2024年11月6日，诚信科研编辑部总结了孙宇团队大量文章出现图片重复使用（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8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）。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诚信科研编辑部也再次呼吁其单位能对孙宇做进一步调查。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2139&amp;idx=3&amp;sn=b0522b4ef307c39d32e00633ec9ac52c&amp;scene=21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38&amp;idx=1&amp;sn=cc5544f1e231f0a97f6f6cf023080ce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