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6371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55603"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4924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9140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8207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5853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96041"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4978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5152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4132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073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4795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31418"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