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转载！国基金委科研学术不端案件通报（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2025-04-28 17:27:42</w:t>
      </w:r>
      <w:r>
        <w:rPr>
          <w:rStyle w:val="richmediametalistem"/>
          <w:rFonts w:ascii="PMingLiU" w:eastAsia="PMingLiU" w:hAnsi="PMingLiU" w:cs="PMingLiU"/>
          <w:color w:val="A5A5A5"/>
          <w:spacing w:val="8"/>
          <w:sz w:val="23"/>
          <w:szCs w:val="23"/>
        </w:rPr>
        <w:t>湖北</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sz w:val="30"/>
          <w:szCs w:val="30"/>
        </w:rPr>
        <w:t>转载！</w:t>
      </w:r>
      <w:r>
        <w:rPr>
          <w:rStyle w:val="any"/>
          <w:rFonts w:ascii="宋体" w:eastAsia="宋体" w:hAnsi="宋体" w:cs="宋体"/>
          <w:b/>
          <w:bCs/>
          <w:caps w:val="0"/>
          <w:smallCaps w:val="0"/>
          <w:spacing w:val="8"/>
          <w:sz w:val="30"/>
          <w:szCs w:val="30"/>
        </w:rPr>
        <w:t>国基金委科研学术不端</w:t>
      </w:r>
      <w:r>
        <w:rPr>
          <w:rStyle w:val="any"/>
          <w:rFonts w:ascii="宋体" w:eastAsia="宋体" w:hAnsi="宋体" w:cs="宋体"/>
          <w:b/>
          <w:bCs/>
          <w:caps w:val="0"/>
          <w:smallCaps w:val="0"/>
          <w:spacing w:val="8"/>
          <w:sz w:val="30"/>
          <w:szCs w:val="30"/>
        </w:rPr>
        <w:t>案件通报（2025年第1批）</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154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1</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（时为上海某高校特聘主任医师）涉嫌学术不端开展了调查。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作为基金项目评审专家，在2023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五十条第一项、第五项，第四十四条第四项，第四十八条第三款，第三十六条第六项，《科研失信行为调查处理规则》第三十五条第七项，永久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国家自然科学基金项目评审专家资格（2024年11月12日起），永久取消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国家自然科学基金项目申请和参与申请资格（2024年11月12日起），给予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2</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国家自然科学基金委员会监督委员会对浙江某高校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在2023年国家自然科学基金项目通讯评审期间存在违规打探评审信息问题。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经国家自然科学基金委员会监督委员会六届五次会议审议，由国家自然科学基金委员会2024年第18次委务会议审定，决定依据《国家自然科学基金项目科研不端行为调查处理办法》第四十四条第一项和第二项，撤销</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信号轴在胰腺癌发生发展中的作用及其机制研究”（批准号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），追回已拨资金，取消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3</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国家自然科学基金委员会监督委员会对山东某高校附属医院</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和山东某医院</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w:t>
      </w:r>
      <w:r>
        <w:rPr>
          <w:rStyle w:val="any"/>
          <w:b w:val="0"/>
          <w:bCs w:val="0"/>
          <w:caps w:val="0"/>
          <w:smallCaps w:val="0"/>
          <w:color w:val="FF0000"/>
          <w:spacing w:val="8"/>
        </w:rPr>
        <w:t>***,</w:t>
      </w:r>
      <w:r>
        <w:rPr>
          <w:rStyle w:val="any"/>
          <w:b w:val="0"/>
          <w:bCs w:val="0"/>
          <w:caps w:val="0"/>
          <w:smallCaps w:val="0"/>
          <w:color w:val="FF0000"/>
          <w:spacing w:val="8"/>
        </w:rPr>
        <w:t>***</w:t>
      </w:r>
      <w:r>
        <w:rPr>
          <w:rStyle w:val="any"/>
          <w:b w:val="0"/>
          <w:bCs w:val="0"/>
          <w:caps w:val="0"/>
          <w:smallCaps w:val="0"/>
          <w:spacing w:val="8"/>
        </w:rPr>
        <w:t>*, et al. A</w:t>
      </w:r>
      <w:r>
        <w:rPr>
          <w:rStyle w:val="any"/>
          <w:b w:val="0"/>
          <w:bCs w:val="0"/>
          <w:caps w:val="0"/>
          <w:smallCaps w:val="0"/>
          <w:color w:val="FF0000"/>
          <w:spacing w:val="8"/>
        </w:rPr>
        <w:t>***</w:t>
      </w:r>
      <w:r>
        <w:rPr>
          <w:rStyle w:val="any"/>
          <w:b w:val="0"/>
          <w:bCs w:val="0"/>
          <w:caps w:val="0"/>
          <w:smallCaps w:val="0"/>
          <w:spacing w:val="8"/>
        </w:rPr>
        <w:t>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经查，涉事论文通讯作者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和第一作者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存在买卖论文、委托他人投稿、擅自标注他人科学基金项目等问题。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二条第二项、第三项，第四十三条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通报批评；决定依据《国家自然科学基金项目科研不端行为调查处理办法》第四十七条，第四十二条第二项、第三项，第四十三条第一项、第六项，取消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4</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w:t>
      </w:r>
      <w:r>
        <w:rPr>
          <w:rStyle w:val="any"/>
          <w:b w:val="0"/>
          <w:bCs w:val="0"/>
          <w:caps w:val="0"/>
          <w:smallCaps w:val="0"/>
          <w:color w:val="FF0000"/>
          <w:spacing w:val="8"/>
        </w:rPr>
        <w:t>***</w:t>
      </w:r>
      <w:r>
        <w:rPr>
          <w:rStyle w:val="any"/>
          <w:b w:val="0"/>
          <w:bCs w:val="0"/>
          <w:caps w:val="0"/>
          <w:smallCaps w:val="0"/>
          <w:color w:val="000000"/>
          <w:spacing w:val="0"/>
          <w:sz w:val="20"/>
          <w:szCs w:val="20"/>
          <w:shd w:val="clear" w:color="auto" w:fill="FFFFFF"/>
          <w:vertAlign w:val="superscript"/>
        </w:rPr>
        <w:t>#</w:t>
      </w:r>
      <w:r>
        <w:rPr>
          <w:rStyle w:val="any"/>
          <w:b w:val="0"/>
          <w:bCs w:val="0"/>
          <w:caps w:val="0"/>
          <w:smallCaps w:val="0"/>
          <w:spacing w:val="8"/>
        </w:rPr>
        <w:t>, et al. Effect of C-phycocyanin on HDAC3 and </w:t>
      </w:r>
      <w:r>
        <w:rPr>
          <w:rStyle w:val="any"/>
          <w:b w:val="0"/>
          <w:bCs w:val="0"/>
          <w:caps w:val="0"/>
          <w:smallCaps w:val="0"/>
          <w:color w:val="FF0000"/>
          <w:spacing w:val="8"/>
        </w:rPr>
        <w:t>***</w:t>
      </w:r>
      <w:r>
        <w:rPr>
          <w:rStyle w:val="any"/>
          <w:b w:val="0"/>
          <w:bCs w:val="0"/>
          <w:caps w:val="0"/>
          <w:smallCaps w:val="0"/>
          <w:spacing w:val="8"/>
        </w:rPr>
        <w:t> in Alzheimer’s disease. Translational Neuroscience, 2020, 11(1): 161-172.”</w:t>
      </w:r>
      <w:r>
        <w:rPr>
          <w:rStyle w:val="any"/>
          <w:rFonts w:ascii="PMingLiU" w:eastAsia="PMingLiU" w:hAnsi="PMingLiU" w:cs="PMingLiU"/>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经查，涉事论文存在抄袭他人实验图片问题，共同第一作者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应对此问题负主要责任；此外，</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该论文列入基金项目申请书（未获资助），</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还应对此负责。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经国家自然科学基金委员会监督委员会六届五次会议审议，由国家自然科学基金委员会2024年第18次委务会议审定，决定依据《国家自然科学基金项目科研不端行为调查处理办法》第四十七条、第四十条，取消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国家自然科学基金项目申请和参与申请资格3年（2024年11月12日至2027年11月11日），给予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5</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国家自然科学基金委员会监督委员会对辽宁某高校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等发表的论文涉嫌学术不端问题开展了调查。涉及论文如下：</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论文1：</w:t>
      </w:r>
      <w:r>
        <w:rPr>
          <w:rStyle w:val="any"/>
          <w:b w:val="0"/>
          <w:bCs w:val="0"/>
          <w:caps w:val="0"/>
          <w:smallCaps w:val="0"/>
          <w:color w:val="FF0000"/>
          <w:spacing w:val="8"/>
        </w:rPr>
        <w:t>***</w:t>
      </w:r>
      <w:r>
        <w:rPr>
          <w:rStyle w:val="any"/>
          <w:b w:val="0"/>
          <w:bCs w:val="0"/>
          <w:caps w:val="0"/>
          <w:smallCaps w:val="0"/>
          <w:spacing w:val="8"/>
        </w:rPr>
        <w:t>, et al. The </w:t>
      </w:r>
      <w:r>
        <w:rPr>
          <w:rStyle w:val="any"/>
          <w:b w:val="0"/>
          <w:bCs w:val="0"/>
          <w:caps w:val="0"/>
          <w:smallCaps w:val="0"/>
          <w:color w:val="FF0000"/>
          <w:spacing w:val="8"/>
        </w:rPr>
        <w:t>***</w:t>
      </w:r>
      <w:r>
        <w:rPr>
          <w:rStyle w:val="any"/>
          <w:b w:val="0"/>
          <w:bCs w:val="0"/>
          <w:caps w:val="0"/>
          <w:smallCaps w:val="0"/>
          <w:spacing w:val="8"/>
        </w:rPr>
        <w:t>of self-floating </w:t>
      </w:r>
      <w:r>
        <w:rPr>
          <w:rStyle w:val="any"/>
          <w:b w:val="0"/>
          <w:bCs w:val="0"/>
          <w:caps w:val="0"/>
          <w:smallCaps w:val="0"/>
          <w:color w:val="000000"/>
          <w:spacing w:val="0"/>
          <w:shd w:val="clear" w:color="auto" w:fill="FFFFFF"/>
        </w:rPr>
        <w:t>Ti</w:t>
      </w:r>
      <w:r>
        <w:rPr>
          <w:rStyle w:val="any"/>
          <w:b w:val="0"/>
          <w:bCs w:val="0"/>
          <w:caps w:val="0"/>
          <w:smallCaps w:val="0"/>
          <w:color w:val="000000"/>
          <w:spacing w:val="0"/>
          <w:sz w:val="20"/>
          <w:szCs w:val="20"/>
          <w:shd w:val="clear" w:color="auto" w:fill="FFFFFF"/>
          <w:vertAlign w:val="superscript"/>
        </w:rPr>
        <w:t>3+</w:t>
      </w:r>
      <w:r>
        <w:rPr>
          <w:rStyle w:val="any"/>
          <w:b w:val="0"/>
          <w:bCs w:val="0"/>
          <w:caps w:val="0"/>
          <w:smallCaps w:val="0"/>
          <w:color w:val="000000"/>
          <w:spacing w:val="0"/>
          <w:shd w:val="clear" w:color="auto" w:fill="FFFFFF"/>
        </w:rPr>
        <w:t>/N</w:t>
      </w:r>
      <w:r>
        <w:rPr>
          <w:rStyle w:val="any"/>
          <w:b w:val="0"/>
          <w:bCs w:val="0"/>
          <w:caps w:val="0"/>
          <w:smallCaps w:val="0"/>
          <w:spacing w:val="8"/>
        </w:rPr>
        <w:t> co-doped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/diatomite granule catalyst with enhanced photocatalytic performance under visible light irradiation. Applied Surface Science. 2019, 467-468, 514-525.</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论文2：</w:t>
      </w:r>
      <w:r>
        <w:rPr>
          <w:rStyle w:val="any"/>
          <w:b w:val="0"/>
          <w:bCs w:val="0"/>
          <w:caps w:val="0"/>
          <w:smallCaps w:val="0"/>
          <w:color w:val="FF0000"/>
          <w:spacing w:val="8"/>
        </w:rPr>
        <w:t>***</w:t>
      </w:r>
      <w:r>
        <w:rPr>
          <w:rStyle w:val="any"/>
          <w:b w:val="0"/>
          <w:bCs w:val="0"/>
          <w:caps w:val="0"/>
          <w:smallCaps w:val="0"/>
          <w:spacing w:val="8"/>
        </w:rPr>
        <w:t>, et al. The </w:t>
      </w:r>
      <w:r>
        <w:rPr>
          <w:rStyle w:val="any"/>
          <w:b w:val="0"/>
          <w:bCs w:val="0"/>
          <w:caps w:val="0"/>
          <w:smallCaps w:val="0"/>
          <w:color w:val="FF0000"/>
          <w:spacing w:val="8"/>
        </w:rPr>
        <w:t>***</w:t>
      </w:r>
      <w:r>
        <w:rPr>
          <w:rStyle w:val="any"/>
          <w:b w:val="0"/>
          <w:bCs w:val="0"/>
          <w:caps w:val="0"/>
          <w:smallCaps w:val="0"/>
          <w:spacing w:val="8"/>
        </w:rPr>
        <w:t> of floating Fe/N co-doped titania/diatomite granule catalyst with enhanced photocatalytic efficiency under visible light irradiation. Advanced Powder Technology, 2019, 30(1): 126-135.</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论文3：</w:t>
      </w:r>
      <w:r>
        <w:rPr>
          <w:rStyle w:val="any"/>
          <w:b w:val="0"/>
          <w:bCs w:val="0"/>
          <w:caps w:val="0"/>
          <w:smallCaps w:val="0"/>
          <w:color w:val="FF0000"/>
          <w:spacing w:val="8"/>
        </w:rPr>
        <w:t>***</w:t>
      </w:r>
      <w:r>
        <w:rPr>
          <w:rStyle w:val="any"/>
          <w:b w:val="0"/>
          <w:bCs w:val="0"/>
          <w:caps w:val="0"/>
          <w:smallCaps w:val="0"/>
          <w:spacing w:val="8"/>
        </w:rPr>
        <w:t>, et al. </w:t>
      </w:r>
      <w:r>
        <w:rPr>
          <w:rStyle w:val="any"/>
          <w:b w:val="0"/>
          <w:bCs w:val="0"/>
          <w:caps w:val="0"/>
          <w:smallCaps w:val="0"/>
          <w:color w:val="FF0000"/>
          <w:spacing w:val="8"/>
        </w:rPr>
        <w:t>***</w:t>
      </w:r>
      <w:r>
        <w:rPr>
          <w:rStyle w:val="any"/>
          <w:b w:val="0"/>
          <w:bCs w:val="0"/>
          <w:caps w:val="0"/>
          <w:smallCaps w:val="0"/>
          <w:spacing w:val="8"/>
        </w:rPr>
        <w:t> Cu/N co-doped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/diatomite granule composite with enhanced visible-light-responsive photoactivity and reusability. Journal of Chemical Technology and Biotechnology, 2019, 94(4): 1210-1219.</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论文4：</w:t>
      </w:r>
      <w:r>
        <w:rPr>
          <w:rStyle w:val="any"/>
          <w:b w:val="0"/>
          <w:bCs w:val="0"/>
          <w:caps w:val="0"/>
          <w:smallCaps w:val="0"/>
          <w:color w:val="FF0000"/>
          <w:spacing w:val="8"/>
        </w:rPr>
        <w:t>***</w:t>
      </w:r>
      <w:r>
        <w:rPr>
          <w:rStyle w:val="any"/>
          <w:b w:val="0"/>
          <w:bCs w:val="0"/>
          <w:caps w:val="0"/>
          <w:smallCaps w:val="0"/>
          <w:spacing w:val="8"/>
        </w:rPr>
        <w:t>, et al.</w:t>
      </w:r>
      <w:r>
        <w:rPr>
          <w:rStyle w:val="any"/>
          <w:b w:val="0"/>
          <w:bCs w:val="0"/>
          <w:caps w:val="0"/>
          <w:smallCaps w:val="0"/>
          <w:color w:val="FF0000"/>
          <w:spacing w:val="8"/>
        </w:rPr>
        <w:t>***</w:t>
      </w:r>
      <w:r>
        <w:rPr>
          <w:rStyle w:val="any"/>
          <w:b w:val="0"/>
          <w:bCs w:val="0"/>
          <w:caps w:val="0"/>
          <w:smallCaps w:val="0"/>
          <w:spacing w:val="8"/>
        </w:rPr>
        <w:t> elimination of oxytetracycline and Escherichia coli using magnetic La-doped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/copper ferrite/diatomite composite. Environmental Science and Pollution Research, 2019, 26, 26593-26604.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论文5：</w:t>
      </w:r>
      <w:r>
        <w:rPr>
          <w:rStyle w:val="any"/>
          <w:b w:val="0"/>
          <w:bCs w:val="0"/>
          <w:caps w:val="0"/>
          <w:smallCaps w:val="0"/>
          <w:color w:val="FF0000"/>
          <w:spacing w:val="8"/>
        </w:rPr>
        <w:t>***</w:t>
      </w:r>
      <w:r>
        <w:rPr>
          <w:rStyle w:val="any"/>
          <w:b w:val="0"/>
          <w:bCs w:val="0"/>
          <w:caps w:val="0"/>
          <w:smallCaps w:val="0"/>
          <w:spacing w:val="8"/>
        </w:rPr>
        <w:t>, et al. Visible-light-induced photocatalytic mitigation of ibuprofen using magnetic black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2-x</w:t>
      </w:r>
      <w:r>
        <w:rPr>
          <w:rStyle w:val="any"/>
          <w:b w:val="0"/>
          <w:bCs w:val="0"/>
          <w:caps w:val="0"/>
          <w:smallCaps w:val="0"/>
          <w:color w:val="000000"/>
          <w:spacing w:val="0"/>
          <w:shd w:val="clear" w:color="auto" w:fill="FFFFFF"/>
        </w:rPr>
        <w:t>/CaFe</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color w:val="000000"/>
          <w:spacing w:val="0"/>
          <w:shd w:val="clear" w:color="auto" w:fill="FFFFFF"/>
        </w:rPr>
        <w:t>O</w:t>
      </w:r>
      <w:r>
        <w:rPr>
          <w:rStyle w:val="any"/>
          <w:b w:val="0"/>
          <w:bCs w:val="0"/>
          <w:caps w:val="0"/>
          <w:smallCaps w:val="0"/>
          <w:color w:val="000000"/>
          <w:spacing w:val="0"/>
          <w:sz w:val="20"/>
          <w:szCs w:val="20"/>
          <w:shd w:val="clear" w:color="auto" w:fill="FFFFFF"/>
          <w:vertAlign w:val="subscript"/>
        </w:rPr>
        <w:t>4 </w:t>
      </w:r>
      <w:r>
        <w:rPr>
          <w:rStyle w:val="any"/>
          <w:b w:val="0"/>
          <w:bCs w:val="0"/>
          <w:caps w:val="0"/>
          <w:smallCaps w:val="0"/>
          <w:spacing w:val="8"/>
        </w:rPr>
        <w:t>decorated on diatomaceous earth. Science of the Total Environment, 2021, 777, 147034.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经查，5篇涉事论文存在抄袭他人论文问题，还存在未经同意使用他人署名和擅自标注他人基金项目问题。5篇涉事论文第一作者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陈岩将论文1至论文3列入基金项目（申请号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，未获资助）申请书，</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还应对此问题负责。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此外，</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在2019年基金项目申请过程中，未经他人同意将其列为基金项目参与人，并冒充签名，陈岩还应对此问题负责。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条，第四十一条第四项、第五项，第四十三条第一项、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6</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在2008年至2024年期间先后利用多个虚假的身份信息申请了多项科学基金项目（均未获资助），存在提供虚假信息问题，情节十分严重。</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一条第三项、第四十八条第三款，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国家自然科学基金项目申请和参与申请资格7年（2024年11月12日至2031年11月11日），给予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7</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大量使用自己往年评审的某省自然科学基金项目申请书内容撰写形成国家自然科学基金项目申请书，并安排他人使用上述申请书申请2024年科学基金项目（未获资助）。</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存在抄袭、剽窃他人基金项目申请书问题。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经国家自然科学基金委员会监督委员会六届五次会议审议，由国家自然科学基金委员会2024年第18次委务会议审定，决定依据《国家自然科学基金项目科研不端行为调查处理办法》第四十条、第五十条第二款，取消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国家自然科学基金项目评审资格7年（2024年11月12日至2031年11月11日），取消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31699" name=""/>
                    <pic:cNvPicPr>
                      <a:picLocks noChangeAspect="1"/>
                    </pic:cNvPicPr>
                  </pic:nvPicPr>
                  <pic:blipFill>
                    <a:blip xmlns:r="http://schemas.openxmlformats.org/officeDocument/2006/relationships" r:embed="rId7"/>
                    <a:stretch>
                      <a:fillRect/>
                    </a:stretch>
                  </pic:blipFill>
                  <pic:spPr>
                    <a:xfrm>
                      <a:off x="0" y="0"/>
                      <a:ext cx="4063460" cy="250764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98&amp;idx=1&amp;sn=5ee1ba9c3ca6e95784ddc737f7b378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