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沧州中心医院神经内科</w:t>
        </w:r>
        <w:r>
          <w:rPr>
            <w:rStyle w:val="a"/>
            <w:rFonts w:ascii="Times New Roman" w:eastAsia="Times New Roman" w:hAnsi="Times New Roman" w:cs="Times New Roman"/>
            <w:b w:val="0"/>
            <w:bCs w:val="0"/>
            <w:spacing w:val="8"/>
          </w:rPr>
          <w:t xml:space="preserve">J Cell Biochem </w:t>
        </w:r>
        <w:r>
          <w:rPr>
            <w:rStyle w:val="a"/>
            <w:rFonts w:ascii="PMingLiU" w:eastAsia="PMingLiU" w:hAnsi="PMingLiU" w:cs="PMingLiU"/>
            <w:b w:val="0"/>
            <w:bCs w:val="0"/>
            <w:spacing w:val="8"/>
          </w:rPr>
          <w:t>图片重复撤回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2025-04-27 14:15:21</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2346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2276"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沧州中心医院神经内科</w:t>
            </w:r>
            <w:r>
              <w:rPr>
                <w:rStyle w:val="any"/>
                <w:b/>
                <w:bCs/>
                <w:i w:val="0"/>
                <w:iCs w:val="0"/>
                <w:caps w:val="0"/>
                <w:smallCaps w:val="0"/>
                <w:color w:val="111111"/>
                <w:spacing w:val="8"/>
                <w:sz w:val="28"/>
                <w:szCs w:val="28"/>
              </w:rPr>
              <w:t xml:space="preserve">J Cell Biochem </w:t>
            </w:r>
            <w:r>
              <w:rPr>
                <w:rStyle w:val="any"/>
                <w:rFonts w:ascii="PMingLiU" w:eastAsia="PMingLiU" w:hAnsi="PMingLiU" w:cs="PMingLiU"/>
                <w:b/>
                <w:bCs/>
                <w:i w:val="0"/>
                <w:iCs w:val="0"/>
                <w:caps w:val="0"/>
                <w:smallCaps w:val="0"/>
                <w:color w:val="111111"/>
                <w:spacing w:val="8"/>
                <w:sz w:val="28"/>
                <w:szCs w:val="28"/>
              </w:rPr>
              <w:t>图片重复撤回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Long noncoding RNA HOTTIP alleviates oxygen-glucose deprivation-induced neuronal injury via modulating miR-143/hexokinase 2 pathway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长非编码</w:t>
            </w:r>
            <w:r>
              <w:rPr>
                <w:rStyle w:val="any"/>
                <w:rFonts w:ascii="Tahoma" w:eastAsia="Tahoma" w:hAnsi="Tahoma" w:cs="Tahoma"/>
                <w:b w:val="0"/>
                <w:bCs w:val="0"/>
                <w:i w:val="0"/>
                <w:iCs w:val="0"/>
                <w:caps w:val="0"/>
                <w:smallCaps w:val="0"/>
                <w:color w:val="111111"/>
                <w:spacing w:val="8"/>
                <w:sz w:val="21"/>
                <w:szCs w:val="21"/>
              </w:rPr>
              <w:t>RNA HOTTIP</w:t>
            </w:r>
            <w:r>
              <w:rPr>
                <w:rStyle w:val="any"/>
                <w:rFonts w:ascii="PMingLiU" w:eastAsia="PMingLiU" w:hAnsi="PMingLiU" w:cs="PMingLiU"/>
                <w:b w:val="0"/>
                <w:bCs w:val="0"/>
                <w:i w:val="0"/>
                <w:iCs w:val="0"/>
                <w:caps w:val="0"/>
                <w:smallCaps w:val="0"/>
                <w:color w:val="111111"/>
                <w:spacing w:val="8"/>
                <w:sz w:val="21"/>
                <w:szCs w:val="21"/>
              </w:rPr>
              <w:t>通过调节</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己糖激酶</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通路减轻氧糖剥夺诱导的神经元损伤</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末端</w:t>
            </w:r>
            <w:r>
              <w:rPr>
                <w:rStyle w:val="any"/>
                <w:rFonts w:ascii="Tahoma" w:eastAsia="Tahoma" w:hAnsi="Tahoma" w:cs="Tahoma"/>
                <w:b w:val="0"/>
                <w:bCs w:val="0"/>
                <w:i w:val="0"/>
                <w:iCs w:val="0"/>
                <w:caps w:val="0"/>
                <w:smallCaps w:val="0"/>
                <w:color w:val="111111"/>
                <w:spacing w:val="8"/>
                <w:sz w:val="21"/>
                <w:szCs w:val="21"/>
              </w:rPr>
              <w:t>HOXA</w:t>
            </w:r>
            <w:r>
              <w:rPr>
                <w:rStyle w:val="any"/>
                <w:rFonts w:ascii="PMingLiU" w:eastAsia="PMingLiU" w:hAnsi="PMingLiU" w:cs="PMingLiU"/>
                <w:b w:val="0"/>
                <w:bCs w:val="0"/>
                <w:i w:val="0"/>
                <w:iCs w:val="0"/>
                <w:caps w:val="0"/>
                <w:smallCaps w:val="0"/>
                <w:color w:val="111111"/>
                <w:spacing w:val="8"/>
                <w:sz w:val="21"/>
                <w:szCs w:val="21"/>
              </w:rPr>
              <w:t>转录物（</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）是一种长的非编码</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，在多种癌症和冠状动脉疾病中起着重要作用。微小</w:t>
            </w:r>
            <w:r>
              <w:rPr>
                <w:rStyle w:val="any"/>
                <w:rFonts w:ascii="Tahoma" w:eastAsia="Tahoma" w:hAnsi="Tahoma" w:cs="Tahoma"/>
                <w:b w:val="0"/>
                <w:bCs w:val="0"/>
                <w:i w:val="0"/>
                <w:iCs w:val="0"/>
                <w:caps w:val="0"/>
                <w:smallCaps w:val="0"/>
                <w:color w:val="111111"/>
                <w:spacing w:val="8"/>
                <w:sz w:val="21"/>
                <w:szCs w:val="21"/>
              </w:rPr>
              <w:t>RNA-143</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）表达升高导致葡萄糖摄取受损，这是缺血性脑损伤的原因。然而，</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在缺血性卒中中的作用和机制尚不清楚。</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的表达首次在短暂性大脑中动脉闭塞的小鼠模型和暴露于氧葡萄糖剥夺（</w:t>
            </w:r>
            <w:r>
              <w:rPr>
                <w:rStyle w:val="any"/>
                <w:rFonts w:ascii="Tahoma" w:eastAsia="Tahoma" w:hAnsi="Tahoma" w:cs="Tahoma"/>
                <w:b w:val="0"/>
                <w:bCs w:val="0"/>
                <w:i w:val="0"/>
                <w:iCs w:val="0"/>
                <w:caps w:val="0"/>
                <w:smallCaps w:val="0"/>
                <w:color w:val="111111"/>
                <w:spacing w:val="8"/>
                <w:sz w:val="21"/>
                <w:szCs w:val="21"/>
              </w:rPr>
              <w:t>OGD</w:t>
            </w:r>
            <w:r>
              <w:rPr>
                <w:rStyle w:val="any"/>
                <w:rFonts w:ascii="PMingLiU" w:eastAsia="PMingLiU" w:hAnsi="PMingLiU" w:cs="PMingLiU"/>
                <w:b w:val="0"/>
                <w:bCs w:val="0"/>
                <w:i w:val="0"/>
                <w:iCs w:val="0"/>
                <w:caps w:val="0"/>
                <w:smallCaps w:val="0"/>
                <w:color w:val="111111"/>
                <w:spacing w:val="8"/>
                <w:sz w:val="21"/>
                <w:szCs w:val="21"/>
              </w:rPr>
              <w:t>）的原代神经元中检测到。我们在体外使用功能获得和功能丧失方法，通过评估暴露于</w:t>
            </w:r>
            <w:r>
              <w:rPr>
                <w:rStyle w:val="any"/>
                <w:rFonts w:ascii="Tahoma" w:eastAsia="Tahoma" w:hAnsi="Tahoma" w:cs="Tahoma"/>
                <w:b w:val="0"/>
                <w:bCs w:val="0"/>
                <w:i w:val="0"/>
                <w:iCs w:val="0"/>
                <w:caps w:val="0"/>
                <w:smallCaps w:val="0"/>
                <w:color w:val="111111"/>
                <w:spacing w:val="8"/>
                <w:sz w:val="21"/>
                <w:szCs w:val="21"/>
              </w:rPr>
              <w:t>OGD</w:t>
            </w:r>
            <w:r>
              <w:rPr>
                <w:rStyle w:val="any"/>
                <w:rFonts w:ascii="PMingLiU" w:eastAsia="PMingLiU" w:hAnsi="PMingLiU" w:cs="PMingLiU"/>
                <w:b w:val="0"/>
                <w:bCs w:val="0"/>
                <w:i w:val="0"/>
                <w:iCs w:val="0"/>
                <w:caps w:val="0"/>
                <w:smallCaps w:val="0"/>
                <w:color w:val="111111"/>
                <w:spacing w:val="8"/>
                <w:sz w:val="21"/>
                <w:szCs w:val="21"/>
              </w:rPr>
              <w:t>的神经元的细胞存活率、凋亡和糖酵解代谢，研究</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对缺血性卒中的影响和机制。在实验性缺血性卒中模型中，</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表达降低，而</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增加。</w:t>
            </w:r>
            <w:r>
              <w:rPr>
                <w:rStyle w:val="any"/>
                <w:rFonts w:ascii="Tahoma" w:eastAsia="Tahoma" w:hAnsi="Tahoma" w:cs="Tahoma"/>
                <w:b w:val="0"/>
                <w:bCs w:val="0"/>
                <w:i w:val="0"/>
                <w:iCs w:val="0"/>
                <w:caps w:val="0"/>
                <w:smallCaps w:val="0"/>
                <w:color w:val="111111"/>
                <w:spacing w:val="8"/>
                <w:sz w:val="21"/>
                <w:szCs w:val="21"/>
              </w:rPr>
              <w:t>pcDNA3.1-HOTTIP</w:t>
            </w:r>
            <w:r>
              <w:rPr>
                <w:rStyle w:val="any"/>
                <w:rFonts w:ascii="PMingLiU" w:eastAsia="PMingLiU" w:hAnsi="PMingLiU" w:cs="PMingLiU"/>
                <w:b w:val="0"/>
                <w:bCs w:val="0"/>
                <w:i w:val="0"/>
                <w:iCs w:val="0"/>
                <w:caps w:val="0"/>
                <w:smallCaps w:val="0"/>
                <w:color w:val="111111"/>
                <w:spacing w:val="8"/>
                <w:sz w:val="21"/>
                <w:szCs w:val="21"/>
              </w:rPr>
              <w:t>质粒过表达</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显著提高了细胞活力、葡萄糖摄取以及己糖激酶</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HK-2</w:t>
            </w:r>
            <w:r>
              <w:rPr>
                <w:rStyle w:val="any"/>
                <w:rFonts w:ascii="PMingLiU" w:eastAsia="PMingLiU" w:hAnsi="PMingLiU" w:cs="PMingLiU"/>
                <w:b w:val="0"/>
                <w:bCs w:val="0"/>
                <w:i w:val="0"/>
                <w:iCs w:val="0"/>
                <w:caps w:val="0"/>
                <w:smallCaps w:val="0"/>
                <w:color w:val="111111"/>
                <w:spacing w:val="8"/>
                <w:sz w:val="21"/>
                <w:szCs w:val="21"/>
              </w:rPr>
              <w:t>）和丙酮酸激酶</w:t>
            </w:r>
            <w:r>
              <w:rPr>
                <w:rStyle w:val="any"/>
                <w:rFonts w:ascii="Tahoma" w:eastAsia="Tahoma" w:hAnsi="Tahoma" w:cs="Tahoma"/>
                <w:b w:val="0"/>
                <w:bCs w:val="0"/>
                <w:i w:val="0"/>
                <w:iCs w:val="0"/>
                <w:caps w:val="0"/>
                <w:smallCaps w:val="0"/>
                <w:color w:val="111111"/>
                <w:spacing w:val="8"/>
                <w:sz w:val="21"/>
                <w:szCs w:val="21"/>
              </w:rPr>
              <w:t>M2</w:t>
            </w:r>
            <w:r>
              <w:rPr>
                <w:rStyle w:val="any"/>
                <w:rFonts w:ascii="PMingLiU" w:eastAsia="PMingLiU" w:hAnsi="PMingLiU" w:cs="PMingLiU"/>
                <w:b w:val="0"/>
                <w:bCs w:val="0"/>
                <w:i w:val="0"/>
                <w:iCs w:val="0"/>
                <w:caps w:val="0"/>
                <w:smallCaps w:val="0"/>
                <w:color w:val="111111"/>
                <w:spacing w:val="8"/>
                <w:sz w:val="21"/>
                <w:szCs w:val="21"/>
              </w:rPr>
              <w:t>的表达，而</w:t>
            </w:r>
            <w:r>
              <w:rPr>
                <w:rStyle w:val="any"/>
                <w:rFonts w:ascii="Tahoma" w:eastAsia="Tahoma" w:hAnsi="Tahoma" w:cs="Tahoma"/>
                <w:b w:val="0"/>
                <w:bCs w:val="0"/>
                <w:i w:val="0"/>
                <w:iCs w:val="0"/>
                <w:caps w:val="0"/>
                <w:smallCaps w:val="0"/>
                <w:color w:val="111111"/>
                <w:spacing w:val="8"/>
                <w:sz w:val="21"/>
                <w:szCs w:val="21"/>
              </w:rPr>
              <w:t>OGD</w:t>
            </w:r>
            <w:r>
              <w:rPr>
                <w:rStyle w:val="any"/>
                <w:rFonts w:ascii="PMingLiU" w:eastAsia="PMingLiU" w:hAnsi="PMingLiU" w:cs="PMingLiU"/>
                <w:b w:val="0"/>
                <w:bCs w:val="0"/>
                <w:i w:val="0"/>
                <w:iCs w:val="0"/>
                <w:caps w:val="0"/>
                <w:smallCaps w:val="0"/>
                <w:color w:val="111111"/>
                <w:spacing w:val="8"/>
                <w:sz w:val="21"/>
                <w:szCs w:val="21"/>
              </w:rPr>
              <w:t>损伤会降低这些表达。</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过表达还降低了</w:t>
            </w:r>
            <w:r>
              <w:rPr>
                <w:rStyle w:val="any"/>
                <w:rFonts w:ascii="Tahoma" w:eastAsia="Tahoma" w:hAnsi="Tahoma" w:cs="Tahoma"/>
                <w:b w:val="0"/>
                <w:bCs w:val="0"/>
                <w:i w:val="0"/>
                <w:iCs w:val="0"/>
                <w:caps w:val="0"/>
                <w:smallCaps w:val="0"/>
                <w:color w:val="111111"/>
                <w:spacing w:val="8"/>
                <w:sz w:val="21"/>
                <w:szCs w:val="21"/>
              </w:rPr>
              <w:t>OGD</w:t>
            </w:r>
            <w:r>
              <w:rPr>
                <w:rStyle w:val="any"/>
                <w:rFonts w:ascii="PMingLiU" w:eastAsia="PMingLiU" w:hAnsi="PMingLiU" w:cs="PMingLiU"/>
                <w:b w:val="0"/>
                <w:bCs w:val="0"/>
                <w:i w:val="0"/>
                <w:iCs w:val="0"/>
                <w:caps w:val="0"/>
                <w:smallCaps w:val="0"/>
                <w:color w:val="111111"/>
                <w:spacing w:val="8"/>
                <w:sz w:val="21"/>
                <w:szCs w:val="21"/>
              </w:rPr>
              <w:t>诱导的神经元凋亡和半胱氨酸天冬氨酸蛋白酶</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活性。</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模拟物逆转了这些效应，而抗</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增强了这些效应。此外，我们发现</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可以作为</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的竞争性内源性</w:t>
            </w:r>
            <w:r>
              <w:rPr>
                <w:rStyle w:val="any"/>
                <w:rFonts w:ascii="Tahoma" w:eastAsia="Tahoma" w:hAnsi="Tahoma" w:cs="Tahoma"/>
                <w:b w:val="0"/>
                <w:bCs w:val="0"/>
                <w:i w:val="0"/>
                <w:iCs w:val="0"/>
                <w:caps w:val="0"/>
                <w:smallCaps w:val="0"/>
                <w:color w:val="111111"/>
                <w:spacing w:val="8"/>
                <w:sz w:val="21"/>
                <w:szCs w:val="21"/>
              </w:rPr>
              <w:t>RNA</w:t>
            </w:r>
            <w:r>
              <w:rPr>
                <w:rStyle w:val="any"/>
                <w:rFonts w:ascii="PMingLiU" w:eastAsia="PMingLiU" w:hAnsi="PMingLiU" w:cs="PMingLiU"/>
                <w:b w:val="0"/>
                <w:bCs w:val="0"/>
                <w:i w:val="0"/>
                <w:iCs w:val="0"/>
                <w:caps w:val="0"/>
                <w:smallCaps w:val="0"/>
                <w:color w:val="111111"/>
                <w:spacing w:val="8"/>
                <w:sz w:val="21"/>
                <w:szCs w:val="21"/>
              </w:rPr>
              <w:t>来调节</w:t>
            </w:r>
            <w:r>
              <w:rPr>
                <w:rStyle w:val="any"/>
                <w:rFonts w:ascii="Tahoma" w:eastAsia="Tahoma" w:hAnsi="Tahoma" w:cs="Tahoma"/>
                <w:b w:val="0"/>
                <w:bCs w:val="0"/>
                <w:i w:val="0"/>
                <w:iCs w:val="0"/>
                <w:caps w:val="0"/>
                <w:smallCaps w:val="0"/>
                <w:color w:val="111111"/>
                <w:spacing w:val="8"/>
                <w:sz w:val="21"/>
                <w:szCs w:val="21"/>
              </w:rPr>
              <w:t>HK-2</w:t>
            </w:r>
            <w:r>
              <w:rPr>
                <w:rStyle w:val="any"/>
                <w:rFonts w:ascii="PMingLiU" w:eastAsia="PMingLiU" w:hAnsi="PMingLiU" w:cs="PMingLiU"/>
                <w:b w:val="0"/>
                <w:bCs w:val="0"/>
                <w:i w:val="0"/>
                <w:iCs w:val="0"/>
                <w:caps w:val="0"/>
                <w:smallCaps w:val="0"/>
                <w:color w:val="111111"/>
                <w:spacing w:val="8"/>
                <w:sz w:val="21"/>
                <w:szCs w:val="21"/>
              </w:rPr>
              <w:t>的表达。总之，缺血性卒中患者</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表达降低。</w:t>
            </w:r>
            <w:r>
              <w:rPr>
                <w:rStyle w:val="any"/>
                <w:rFonts w:ascii="Tahoma" w:eastAsia="Tahoma" w:hAnsi="Tahoma" w:cs="Tahoma"/>
                <w:b w:val="0"/>
                <w:bCs w:val="0"/>
                <w:i w:val="0"/>
                <w:iCs w:val="0"/>
                <w:caps w:val="0"/>
                <w:smallCaps w:val="0"/>
                <w:color w:val="111111"/>
                <w:spacing w:val="8"/>
                <w:sz w:val="21"/>
                <w:szCs w:val="21"/>
              </w:rPr>
              <w:t>HOTTIP</w:t>
            </w:r>
            <w:r>
              <w:rPr>
                <w:rStyle w:val="any"/>
                <w:rFonts w:ascii="PMingLiU" w:eastAsia="PMingLiU" w:hAnsi="PMingLiU" w:cs="PMingLiU"/>
                <w:b w:val="0"/>
                <w:bCs w:val="0"/>
                <w:i w:val="0"/>
                <w:iCs w:val="0"/>
                <w:caps w:val="0"/>
                <w:smallCaps w:val="0"/>
                <w:color w:val="111111"/>
                <w:spacing w:val="8"/>
                <w:sz w:val="21"/>
                <w:szCs w:val="21"/>
              </w:rPr>
              <w:t>过表达通过海绵状</w:t>
            </w:r>
            <w:r>
              <w:rPr>
                <w:rStyle w:val="any"/>
                <w:rFonts w:ascii="Tahoma" w:eastAsia="Tahoma" w:hAnsi="Tahoma" w:cs="Tahoma"/>
                <w:b w:val="0"/>
                <w:bCs w:val="0"/>
                <w:i w:val="0"/>
                <w:iCs w:val="0"/>
                <w:caps w:val="0"/>
                <w:smallCaps w:val="0"/>
                <w:color w:val="111111"/>
                <w:spacing w:val="8"/>
                <w:sz w:val="21"/>
                <w:szCs w:val="21"/>
              </w:rPr>
              <w:t>miR-143</w:t>
            </w:r>
            <w:r>
              <w:rPr>
                <w:rStyle w:val="any"/>
                <w:rFonts w:ascii="PMingLiU" w:eastAsia="PMingLiU" w:hAnsi="PMingLiU" w:cs="PMingLiU"/>
                <w:b w:val="0"/>
                <w:bCs w:val="0"/>
                <w:i w:val="0"/>
                <w:iCs w:val="0"/>
                <w:caps w:val="0"/>
                <w:smallCaps w:val="0"/>
                <w:color w:val="111111"/>
                <w:spacing w:val="8"/>
                <w:sz w:val="21"/>
                <w:szCs w:val="21"/>
              </w:rPr>
              <w:t>减轻了</w:t>
            </w:r>
            <w:r>
              <w:rPr>
                <w:rStyle w:val="any"/>
                <w:rFonts w:ascii="Tahoma" w:eastAsia="Tahoma" w:hAnsi="Tahoma" w:cs="Tahoma"/>
                <w:b w:val="0"/>
                <w:bCs w:val="0"/>
                <w:i w:val="0"/>
                <w:iCs w:val="0"/>
                <w:caps w:val="0"/>
                <w:smallCaps w:val="0"/>
                <w:color w:val="111111"/>
                <w:spacing w:val="8"/>
                <w:sz w:val="21"/>
                <w:szCs w:val="21"/>
              </w:rPr>
              <w:t>OGD</w:t>
            </w:r>
            <w:r>
              <w:rPr>
                <w:rStyle w:val="any"/>
                <w:rFonts w:ascii="PMingLiU" w:eastAsia="PMingLiU" w:hAnsi="PMingLiU" w:cs="PMingLiU"/>
                <w:b w:val="0"/>
                <w:bCs w:val="0"/>
                <w:i w:val="0"/>
                <w:iCs w:val="0"/>
                <w:caps w:val="0"/>
                <w:smallCaps w:val="0"/>
                <w:color w:val="111111"/>
                <w:spacing w:val="8"/>
                <w:sz w:val="21"/>
                <w:szCs w:val="21"/>
              </w:rPr>
              <w:t>诱导的神经元损伤和糖酵解代谢失衡，导致其内源性靶点</w:t>
            </w:r>
            <w:r>
              <w:rPr>
                <w:rStyle w:val="any"/>
                <w:rFonts w:ascii="Tahoma" w:eastAsia="Tahoma" w:hAnsi="Tahoma" w:cs="Tahoma"/>
                <w:b w:val="0"/>
                <w:bCs w:val="0"/>
                <w:i w:val="0"/>
                <w:iCs w:val="0"/>
                <w:caps w:val="0"/>
                <w:smallCaps w:val="0"/>
                <w:color w:val="111111"/>
                <w:spacing w:val="8"/>
                <w:sz w:val="21"/>
                <w:szCs w:val="21"/>
              </w:rPr>
              <w:t>HK-2</w:t>
            </w:r>
            <w:r>
              <w:rPr>
                <w:rStyle w:val="any"/>
                <w:rFonts w:ascii="PMingLiU" w:eastAsia="PMingLiU" w:hAnsi="PMingLiU" w:cs="PMingLiU"/>
                <w:b w:val="0"/>
                <w:bCs w:val="0"/>
                <w:i w:val="0"/>
                <w:iCs w:val="0"/>
                <w:caps w:val="0"/>
                <w:smallCaps w:val="0"/>
                <w:color w:val="111111"/>
                <w:spacing w:val="8"/>
                <w:sz w:val="21"/>
                <w:szCs w:val="21"/>
              </w:rPr>
              <w:t>的去抑制。综上所述，这些发现提高了对缺血性卒中发病机制的理解。</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vertAlign w:val="baseline"/>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3"/>
                <w:szCs w:val="23"/>
              </w:rPr>
              <w:t>河北省沧州市沧州中心医院神经内科，</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J Cell Biochem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图片重复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2018</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20</w:t>
            </w:r>
            <w:r>
              <w:rPr>
                <w:rStyle w:val="any"/>
                <w:rFonts w:ascii="PMingLiU" w:eastAsia="PMingLiU" w:hAnsi="PMingLiU" w:cs="PMingLiU"/>
                <w:b w:val="0"/>
                <w:bCs w:val="0"/>
                <w:i w:val="0"/>
                <w:iCs w:val="0"/>
                <w:caps w:val="0"/>
                <w:smallCaps w:val="0"/>
                <w:color w:val="111111"/>
                <w:spacing w:val="8"/>
                <w:sz w:val="21"/>
                <w:szCs w:val="21"/>
              </w:rPr>
              <w:t>日在</w:t>
            </w:r>
            <w:r>
              <w:rPr>
                <w:rStyle w:val="any"/>
                <w:rFonts w:ascii="Tahoma" w:eastAsia="Tahoma" w:hAnsi="Tahoma" w:cs="Tahoma"/>
                <w:b w:val="0"/>
                <w:bCs w:val="0"/>
                <w:i w:val="0"/>
                <w:iCs w:val="0"/>
                <w:caps w:val="0"/>
                <w:smallCaps w:val="0"/>
                <w:color w:val="111111"/>
                <w:spacing w:val="8"/>
                <w:sz w:val="21"/>
                <w:szCs w:val="21"/>
              </w:rPr>
              <w:t>Wiley online Library</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）在线发表，经期刊主编</w:t>
            </w:r>
            <w:r>
              <w:rPr>
                <w:rStyle w:val="any"/>
                <w:rFonts w:ascii="Tahoma" w:eastAsia="Tahoma" w:hAnsi="Tahoma" w:cs="Tahoma"/>
                <w:b w:val="0"/>
                <w:bCs w:val="0"/>
                <w:i w:val="0"/>
                <w:iCs w:val="0"/>
                <w:caps w:val="0"/>
                <w:smallCaps w:val="0"/>
                <w:color w:val="111111"/>
                <w:spacing w:val="8"/>
                <w:sz w:val="21"/>
                <w:szCs w:val="21"/>
              </w:rPr>
              <w:t>Christian Behl</w:t>
            </w:r>
            <w:r>
              <w:rPr>
                <w:rStyle w:val="any"/>
                <w:rFonts w:ascii="PMingLiU" w:eastAsia="PMingLiU" w:hAnsi="PMingLiU" w:cs="PMingLiU"/>
                <w:b w:val="0"/>
                <w:bCs w:val="0"/>
                <w:i w:val="0"/>
                <w:iCs w:val="0"/>
                <w:caps w:val="0"/>
                <w:smallCaps w:val="0"/>
                <w:color w:val="111111"/>
                <w:spacing w:val="8"/>
                <w:sz w:val="21"/>
                <w:szCs w:val="21"/>
              </w:rPr>
              <w:t>同意，已被撤回；由于第三方提出的担忧，撤回已得到同意。图</w:t>
            </w:r>
            <w:r>
              <w:rPr>
                <w:rStyle w:val="any"/>
                <w:rFonts w:ascii="Tahoma" w:eastAsia="Tahoma" w:hAnsi="Tahoma" w:cs="Tahoma"/>
                <w:b w:val="0"/>
                <w:bCs w:val="0"/>
                <w:i w:val="0"/>
                <w:iCs w:val="0"/>
                <w:caps w:val="0"/>
                <w:smallCaps w:val="0"/>
                <w:color w:val="111111"/>
                <w:spacing w:val="8"/>
                <w:sz w:val="21"/>
                <w:szCs w:val="21"/>
              </w:rPr>
              <w:t>2C</w:t>
            </w:r>
            <w:r>
              <w:rPr>
                <w:rStyle w:val="any"/>
                <w:rFonts w:ascii="PMingLiU" w:eastAsia="PMingLiU" w:hAnsi="PMingLiU" w:cs="PMingLiU"/>
                <w:b w:val="0"/>
                <w:bCs w:val="0"/>
                <w:i w:val="0"/>
                <w:iCs w:val="0"/>
                <w:caps w:val="0"/>
                <w:smallCaps w:val="0"/>
                <w:color w:val="111111"/>
                <w:spacing w:val="8"/>
                <w:sz w:val="21"/>
                <w:szCs w:val="21"/>
              </w:rPr>
              <w:t>中的多个图像元素被发现是由不同的作者在不同的科学背景下发表的。作者被邀请对这些担忧发表评论，但没有回应。因此，这篇文章被撤回，因为编辑们对文章中提供的全部数据的完整性和可靠性失去了信心，并认为其结论无效。作者被告知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20212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4277" name=""/>
                          <pic:cNvPicPr>
                            <a:picLocks noChangeAspect="1"/>
                          </pic:cNvPicPr>
                        </pic:nvPicPr>
                        <pic:blipFill>
                          <a:blip xmlns:r="http://schemas.openxmlformats.org/officeDocument/2006/relationships" r:embed="rId7"/>
                          <a:stretch>
                            <a:fillRect/>
                          </a:stretch>
                        </pic:blipFill>
                        <pic:spPr>
                          <a:xfrm>
                            <a:off x="0" y="0"/>
                            <a:ext cx="3654457" cy="202120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423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72282" name=""/>
                          <pic:cNvPicPr>
                            <a:picLocks noChangeAspect="1"/>
                          </pic:cNvPicPr>
                        </pic:nvPicPr>
                        <pic:blipFill>
                          <a:blip xmlns:r="http://schemas.openxmlformats.org/officeDocument/2006/relationships" r:embed="rId8"/>
                          <a:stretch>
                            <a:fillRect/>
                          </a:stretch>
                        </pic:blipFill>
                        <pic:spPr>
                          <a:xfrm>
                            <a:off x="0" y="0"/>
                            <a:ext cx="3654457" cy="142303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0137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23011"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70279"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56&amp;idx=1&amp;sn=1fa217825a61bbdbbea52c9fa9838d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