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动图为证？南京市第一医院副院长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Junjie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（音译：张俊杰）团队论文重复图像被讨论，背后有国自然基金支持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79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（振荡剪切应力通过内皮细胞中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TLR4</w:t>
      </w:r>
      <w:r>
        <w:rPr>
          <w:rStyle w:val="any"/>
          <w:rFonts w:ascii="PMingLiU" w:eastAsia="PMingLiU" w:hAnsi="PMingLiU" w:cs="PMingLiU"/>
          <w:spacing w:val="8"/>
        </w:rPr>
        <w:t>激活诱导氧化应激）的论文在《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Mediators of Inflammation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10.1155/2019/7162976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26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Carex kauaiensis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01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作者未有任何回应，学者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又对重复图部分做了动图演示。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77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[81770342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张俊杰），疑为</w:t>
      </w:r>
      <w:r>
        <w:rPr>
          <w:rStyle w:val="any"/>
          <w:rFonts w:ascii="PMingLiU" w:eastAsia="PMingLiU" w:hAnsi="PMingLiU" w:cs="PMingLiU"/>
          <w:spacing w:val="8"/>
        </w:rPr>
        <w:t>南京市第一医院副院长，教授，博士生导师、卫健委冠脉介入培训基地导师，第十四届全国人大代表。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https://onlinelibrary.wiley.com/doi/10.1155/2019/7162976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2&amp;sn=3c7d6426eb93d3d735349fe0e8808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