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复用早期发表的论文图像数据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苏州大学苏州医学院与赣南医学院合作论文被质疑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Cancers (2023)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TRIM10 Is Downregulated in Acute Myeloid Leukemia and Plays a Tumor Suppressive Role via Regulating NF-κB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TRIM10在急性髓系白血病中下调并通过调节NF-κB通路发挥抑癌作用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10.3390/cancers15020417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 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与其他论文存在印迹图相同。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苏州大学苏州医学院；赣南医学院第一附属医院血液科；楚雄医药高等专科学校基础医学系；赣南医学院第一附属医院急诊科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的作者Lin Li , Qi Li , Zhengrong Zou , Zoufang Huang , Yijian Chen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通讯作者：Yijian Chen（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苏州大学苏州医学院，赣南医学院第一附属医院血液科）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3135" cy="51054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092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51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924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1C：Western 免疫印迹图取自先前发表的论文（Yi, L et al., 2022; Cell Death Dis）。相同的数据解释不同。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3E：两张流式细胞术点图取自先前发表的论文（Yi, L et al., 2022; Cell Death Dis.）。相同的数据有不同的解释。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本次分析中使用了 ImageTwin。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50565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30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05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06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本研究得到了赣南医学院博士生启动基金（QD805）；赣南医学院横向课题基金（2021002）；教育部重点实验室基金（XN202003）的资助。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17481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04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17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72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https://pmc.ncbi.nlm.nih.gov/articles/PMC9856727/#ack1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https://pubpeer.com/publications/6032AE67516A8B315F8BF122A159E7#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6&amp;sn=8888f42d792fd1a8dba2d75a9bc8d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