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93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21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83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73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37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0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