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广西医科大学第一附院</w:t>
        </w:r>
        <w:r>
          <w:rPr>
            <w:rStyle w:val="a"/>
            <w:rFonts w:ascii="Times New Roman" w:eastAsia="Times New Roman" w:hAnsi="Times New Roman" w:cs="Times New Roman"/>
            <w:b w:val="0"/>
            <w:bCs w:val="0"/>
            <w:spacing w:val="8"/>
          </w:rPr>
          <w:t>Bioengineered</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2025-04-12 23:43:23</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398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40876" name=""/>
                    <pic:cNvPicPr>
                      <a:picLocks noChangeAspect="1"/>
                    </pic:cNvPicPr>
                  </pic:nvPicPr>
                  <pic:blipFill>
                    <a:blip xmlns:r="http://schemas.openxmlformats.org/officeDocument/2006/relationships" r:embed="rId6"/>
                    <a:stretch>
                      <a:fillRect/>
                    </a:stretch>
                  </pic:blipFill>
                  <pic:spPr>
                    <a:xfrm>
                      <a:off x="0" y="0"/>
                      <a:ext cx="5486400" cy="25939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DEAD-box helicase 56 functions as an oncogene promote cell proliferation and invasion in gastric cancer via the FOXO1/p21 Cip1/c-Myc signaling  pathway</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Bioengineered</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广西医科大学第一附属医院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2022年5月13日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10.1080/21655979.2022.2084235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212121"/>
          <w:spacing w:val="0"/>
        </w:rPr>
        <w:t>DEAD-box helicase (DDX) family exerts a critical effect on cancer initiation and progression through alternative splicing, transcription and ribosome biogenesis. Increasing evidence has demonstrated that DEAD-box helicase 56 (DDX56) is over-expressed in several cancers, which plays an oncogenic role. Till the present, the impact of DDX56 on gastric cancer (GC) remains unclear. We conducted high-throughput sequencing (RNA-seq) to demonstrate aberrant DDX56 levels within 10 GC and matched non-carcinoma tissue samples. DDX56 levels were detected through qRT-PCR, western blotting (WB) and immunochemical staining in GC patients. We conducted gain- and loss-of-function studies to examine DDX56's biological role in GC development. In vitro, we carried out 5?Ethynyl?2?deoxyuridine (EdU), scratch, Transwell, and flow cytometry (FCM) assays for detecting GC cell growth, invasion, migration and apoptosis. Additionally, gene set enrichment analysis (GSEA), WB assay, and Encyclopedia of RNA Interactomes (ENCORI) were carried out for analyzing DDX56-regulated downstream genes and signaling pathways. In vivo, tumor xenograft experiment was performed for investigating how DDX56 affected GC development within BALB/c nude mice. Functionally, DDX56 knockdown arrested cell cycle at G1 phase, invasion and migration of AGS and MKN28 cells, and enhanced their apoptosis. Ectopic DDX56 expression enhanced the cell growth, migration and invasion, and inhibited apoptosis. Knockdown of DDX56 suppressed GC growth in the tumor models of BALB/c nude mice. Mechanistically, DDX56 post-transcriptionally suppressed FOXO1/p21 Cip1 protein expression, which could activate its downstream cyclin E1/CDK2/c-Myc signaling pathways. This sheds lights on the GC pathogenic mechanism and offers a potential anti-cancer therapeutic target.</w:t>
      </w:r>
      <w:r>
        <w:rPr>
          <w:rStyle w:val="any"/>
          <w:rFonts w:ascii="Segoe UI" w:eastAsia="Segoe UI" w:hAnsi="Segoe UI" w:cs="Segoe UI"/>
          <w:b w:val="0"/>
          <w:bCs w:val="0"/>
          <w:i w:val="0"/>
          <w:iCs w:val="0"/>
          <w:caps w:val="0"/>
          <w:color w:val="212121"/>
          <w:spacing w:val="0"/>
        </w:rPr>
        <w:br/>
      </w:r>
      <w:r>
        <w:rPr>
          <w:rStyle w:val="any"/>
          <w:rFonts w:ascii="Segoe UI" w:eastAsia="Segoe UI" w:hAnsi="Segoe UI" w:cs="Segoe UI"/>
          <w:b w:val="0"/>
          <w:bCs w:val="0"/>
          <w:i w:val="0"/>
          <w:iCs w:val="0"/>
          <w:caps w:val="0"/>
          <w:color w:val="212121"/>
          <w:spacing w:val="0"/>
          <w:lang w:val="zh-CN" w:eastAsia="zh-CN"/>
        </w:rPr>
        <w:t xml:space="preserve">DEAD-box </w:t>
      </w:r>
      <w:r>
        <w:rPr>
          <w:rStyle w:val="any"/>
          <w:rFonts w:ascii="PMingLiU" w:eastAsia="PMingLiU" w:hAnsi="PMingLiU" w:cs="PMingLiU"/>
          <w:b w:val="0"/>
          <w:bCs w:val="0"/>
          <w:i w:val="0"/>
          <w:iCs w:val="0"/>
          <w:caps w:val="0"/>
          <w:color w:val="212121"/>
          <w:spacing w:val="0"/>
          <w:lang w:val="zh-CN" w:eastAsia="zh-CN"/>
        </w:rPr>
        <w:t>解旋酶（</w:t>
      </w:r>
      <w:r>
        <w:rPr>
          <w:rStyle w:val="any"/>
          <w:rFonts w:ascii="Segoe UI" w:eastAsia="Segoe UI" w:hAnsi="Segoe UI" w:cs="Segoe UI"/>
          <w:b w:val="0"/>
          <w:bCs w:val="0"/>
          <w:i w:val="0"/>
          <w:iCs w:val="0"/>
          <w:caps w:val="0"/>
          <w:color w:val="212121"/>
          <w:spacing w:val="0"/>
          <w:lang w:val="zh-CN" w:eastAsia="zh-CN"/>
        </w:rPr>
        <w:t>DDX</w:t>
      </w:r>
      <w:r>
        <w:rPr>
          <w:rStyle w:val="any"/>
          <w:rFonts w:ascii="PMingLiU" w:eastAsia="PMingLiU" w:hAnsi="PMingLiU" w:cs="PMingLiU"/>
          <w:b w:val="0"/>
          <w:bCs w:val="0"/>
          <w:i w:val="0"/>
          <w:iCs w:val="0"/>
          <w:caps w:val="0"/>
          <w:color w:val="212121"/>
          <w:spacing w:val="0"/>
          <w:lang w:val="zh-CN" w:eastAsia="zh-CN"/>
        </w:rPr>
        <w:t>）家族通过选择性剪接、转录和核糖体生物发生，对癌症的发生和发展起着关键作用。越来越多的证据表明，</w:t>
      </w:r>
      <w:r>
        <w:rPr>
          <w:rStyle w:val="any"/>
          <w:rFonts w:ascii="Segoe UI" w:eastAsia="Segoe UI" w:hAnsi="Segoe UI" w:cs="Segoe UI"/>
          <w:b w:val="0"/>
          <w:bCs w:val="0"/>
          <w:i w:val="0"/>
          <w:iCs w:val="0"/>
          <w:caps w:val="0"/>
          <w:color w:val="212121"/>
          <w:spacing w:val="0"/>
          <w:lang w:val="zh-CN" w:eastAsia="zh-CN"/>
        </w:rPr>
        <w:t xml:space="preserve">DEAD-box </w:t>
      </w:r>
      <w:r>
        <w:rPr>
          <w:rStyle w:val="any"/>
          <w:rFonts w:ascii="PMingLiU" w:eastAsia="PMingLiU" w:hAnsi="PMingLiU" w:cs="PMingLiU"/>
          <w:b w:val="0"/>
          <w:bCs w:val="0"/>
          <w:i w:val="0"/>
          <w:iCs w:val="0"/>
          <w:caps w:val="0"/>
          <w:color w:val="212121"/>
          <w:spacing w:val="0"/>
          <w:lang w:val="zh-CN" w:eastAsia="zh-CN"/>
        </w:rPr>
        <w:t>解旋酶</w:t>
      </w:r>
      <w:r>
        <w:rPr>
          <w:rStyle w:val="any"/>
          <w:rFonts w:ascii="Segoe UI" w:eastAsia="Segoe UI" w:hAnsi="Segoe UI" w:cs="Segoe UI"/>
          <w:b w:val="0"/>
          <w:bCs w:val="0"/>
          <w:i w:val="0"/>
          <w:iCs w:val="0"/>
          <w:caps w:val="0"/>
          <w:color w:val="212121"/>
          <w:spacing w:val="0"/>
          <w:lang w:val="zh-CN" w:eastAsia="zh-CN"/>
        </w:rPr>
        <w:t xml:space="preserve"> 56</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DDX56</w:t>
      </w:r>
      <w:r>
        <w:rPr>
          <w:rStyle w:val="any"/>
          <w:rFonts w:ascii="PMingLiU" w:eastAsia="PMingLiU" w:hAnsi="PMingLiU" w:cs="PMingLiU"/>
          <w:b w:val="0"/>
          <w:bCs w:val="0"/>
          <w:i w:val="0"/>
          <w:iCs w:val="0"/>
          <w:caps w:val="0"/>
          <w:color w:val="212121"/>
          <w:spacing w:val="0"/>
          <w:lang w:val="zh-CN" w:eastAsia="zh-CN"/>
        </w:rPr>
        <w:t>）在多种癌症中过度表达，并发挥致癌作用。截至目前，</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对胃癌（</w:t>
      </w:r>
      <w:r>
        <w:rPr>
          <w:rStyle w:val="any"/>
          <w:rFonts w:ascii="Segoe UI" w:eastAsia="Segoe UI" w:hAnsi="Segoe UI" w:cs="Segoe UI"/>
          <w:b w:val="0"/>
          <w:bCs w:val="0"/>
          <w:i w:val="0"/>
          <w:iCs w:val="0"/>
          <w:caps w:val="0"/>
          <w:color w:val="212121"/>
          <w:spacing w:val="0"/>
          <w:lang w:val="zh-CN" w:eastAsia="zh-CN"/>
        </w:rPr>
        <w:t>GC</w:t>
      </w:r>
      <w:r>
        <w:rPr>
          <w:rStyle w:val="any"/>
          <w:rFonts w:ascii="PMingLiU" w:eastAsia="PMingLiU" w:hAnsi="PMingLiU" w:cs="PMingLiU"/>
          <w:b w:val="0"/>
          <w:bCs w:val="0"/>
          <w:i w:val="0"/>
          <w:iCs w:val="0"/>
          <w:caps w:val="0"/>
          <w:color w:val="212121"/>
          <w:spacing w:val="0"/>
          <w:lang w:val="zh-CN" w:eastAsia="zh-CN"/>
        </w:rPr>
        <w:t>）的影响尚不清楚。我们进行了高通量测序（</w:t>
      </w:r>
      <w:r>
        <w:rPr>
          <w:rStyle w:val="any"/>
          <w:rFonts w:ascii="Segoe UI" w:eastAsia="Segoe UI" w:hAnsi="Segoe UI" w:cs="Segoe UI"/>
          <w:b w:val="0"/>
          <w:bCs w:val="0"/>
          <w:i w:val="0"/>
          <w:iCs w:val="0"/>
          <w:caps w:val="0"/>
          <w:color w:val="212121"/>
          <w:spacing w:val="0"/>
          <w:lang w:val="zh-CN" w:eastAsia="zh-CN"/>
        </w:rPr>
        <w:t>RNA-seq</w:t>
      </w:r>
      <w:r>
        <w:rPr>
          <w:rStyle w:val="any"/>
          <w:rFonts w:ascii="PMingLiU" w:eastAsia="PMingLiU" w:hAnsi="PMingLiU" w:cs="PMingLiU"/>
          <w:b w:val="0"/>
          <w:bCs w:val="0"/>
          <w:i w:val="0"/>
          <w:iCs w:val="0"/>
          <w:caps w:val="0"/>
          <w:color w:val="212121"/>
          <w:spacing w:val="0"/>
          <w:lang w:val="zh-CN" w:eastAsia="zh-CN"/>
        </w:rPr>
        <w:t>），以证明</w:t>
      </w:r>
      <w:r>
        <w:rPr>
          <w:rStyle w:val="any"/>
          <w:rFonts w:ascii="Segoe UI" w:eastAsia="Segoe UI" w:hAnsi="Segoe UI" w:cs="Segoe UI"/>
          <w:b w:val="0"/>
          <w:bCs w:val="0"/>
          <w:i w:val="0"/>
          <w:iCs w:val="0"/>
          <w:caps w:val="0"/>
          <w:color w:val="212121"/>
          <w:spacing w:val="0"/>
          <w:lang w:val="zh-CN" w:eastAsia="zh-CN"/>
        </w:rPr>
        <w:t xml:space="preserve"> 10 </w:t>
      </w:r>
      <w:r>
        <w:rPr>
          <w:rStyle w:val="any"/>
          <w:rFonts w:ascii="PMingLiU" w:eastAsia="PMingLiU" w:hAnsi="PMingLiU" w:cs="PMingLiU"/>
          <w:b w:val="0"/>
          <w:bCs w:val="0"/>
          <w:i w:val="0"/>
          <w:iCs w:val="0"/>
          <w:caps w:val="0"/>
          <w:color w:val="212121"/>
          <w:spacing w:val="0"/>
          <w:lang w:val="zh-CN" w:eastAsia="zh-CN"/>
        </w:rPr>
        <w:t>例</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和匹配的非癌组织样本中</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水平的异常。在</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患者中，通过</w:t>
      </w:r>
      <w:r>
        <w:rPr>
          <w:rStyle w:val="any"/>
          <w:rFonts w:ascii="Segoe UI" w:eastAsia="Segoe UI" w:hAnsi="Segoe UI" w:cs="Segoe UI"/>
          <w:b w:val="0"/>
          <w:bCs w:val="0"/>
          <w:i w:val="0"/>
          <w:iCs w:val="0"/>
          <w:caps w:val="0"/>
          <w:color w:val="212121"/>
          <w:spacing w:val="0"/>
          <w:lang w:val="zh-CN" w:eastAsia="zh-CN"/>
        </w:rPr>
        <w:t xml:space="preserve"> qRT-PCR</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 xml:space="preserve">Western </w:t>
      </w:r>
      <w:r>
        <w:rPr>
          <w:rStyle w:val="any"/>
          <w:rFonts w:ascii="PMingLiU" w:eastAsia="PMingLiU" w:hAnsi="PMingLiU" w:cs="PMingLiU"/>
          <w:b w:val="0"/>
          <w:bCs w:val="0"/>
          <w:i w:val="0"/>
          <w:iCs w:val="0"/>
          <w:caps w:val="0"/>
          <w:color w:val="212121"/>
          <w:spacing w:val="0"/>
          <w:lang w:val="zh-CN" w:eastAsia="zh-CN"/>
        </w:rPr>
        <w:t>印迹（</w:t>
      </w:r>
      <w:r>
        <w:rPr>
          <w:rStyle w:val="any"/>
          <w:rFonts w:ascii="Segoe UI" w:eastAsia="Segoe UI" w:hAnsi="Segoe UI" w:cs="Segoe UI"/>
          <w:b w:val="0"/>
          <w:bCs w:val="0"/>
          <w:i w:val="0"/>
          <w:iCs w:val="0"/>
          <w:caps w:val="0"/>
          <w:color w:val="212121"/>
          <w:spacing w:val="0"/>
          <w:lang w:val="zh-CN" w:eastAsia="zh-CN"/>
        </w:rPr>
        <w:t>WB</w:t>
      </w:r>
      <w:r>
        <w:rPr>
          <w:rStyle w:val="any"/>
          <w:rFonts w:ascii="PMingLiU" w:eastAsia="PMingLiU" w:hAnsi="PMingLiU" w:cs="PMingLiU"/>
          <w:b w:val="0"/>
          <w:bCs w:val="0"/>
          <w:i w:val="0"/>
          <w:iCs w:val="0"/>
          <w:caps w:val="0"/>
          <w:color w:val="212121"/>
          <w:spacing w:val="0"/>
          <w:lang w:val="zh-CN" w:eastAsia="zh-CN"/>
        </w:rPr>
        <w:t>）和免疫化学染色检测</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水平。我们进行了功能获得和功能丧失研究，以检验</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在</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发展中的生物学作用。在体外，我们进行了</w:t>
      </w:r>
      <w:r>
        <w:rPr>
          <w:rStyle w:val="any"/>
          <w:rFonts w:ascii="Segoe UI" w:eastAsia="Segoe UI" w:hAnsi="Segoe UI" w:cs="Segoe UI"/>
          <w:b w:val="0"/>
          <w:bCs w:val="0"/>
          <w:i w:val="0"/>
          <w:iCs w:val="0"/>
          <w:caps w:val="0"/>
          <w:color w:val="212121"/>
          <w:spacing w:val="0"/>
          <w:lang w:val="zh-CN" w:eastAsia="zh-CN"/>
        </w:rPr>
        <w:t xml:space="preserve"> 5-</w:t>
      </w:r>
      <w:r>
        <w:rPr>
          <w:rStyle w:val="any"/>
          <w:rFonts w:ascii="PMingLiU" w:eastAsia="PMingLiU" w:hAnsi="PMingLiU" w:cs="PMingLiU"/>
          <w:b w:val="0"/>
          <w:bCs w:val="0"/>
          <w:i w:val="0"/>
          <w:iCs w:val="0"/>
          <w:caps w:val="0"/>
          <w:color w:val="212121"/>
          <w:spacing w:val="0"/>
          <w:lang w:val="zh-CN" w:eastAsia="zh-CN"/>
        </w:rPr>
        <w:t>乙炔</w:t>
      </w:r>
      <w:r>
        <w:rPr>
          <w:rStyle w:val="any"/>
          <w:rFonts w:ascii="Segoe UI" w:eastAsia="Segoe UI" w:hAnsi="Segoe UI" w:cs="Segoe UI"/>
          <w:b w:val="0"/>
          <w:bCs w:val="0"/>
          <w:i w:val="0"/>
          <w:iCs w:val="0"/>
          <w:caps w:val="0"/>
          <w:color w:val="212121"/>
          <w:spacing w:val="0"/>
          <w:lang w:val="zh-CN" w:eastAsia="zh-CN"/>
        </w:rPr>
        <w:t>-2-</w:t>
      </w:r>
      <w:r>
        <w:rPr>
          <w:rStyle w:val="any"/>
          <w:rFonts w:ascii="PMingLiU" w:eastAsia="PMingLiU" w:hAnsi="PMingLiU" w:cs="PMingLiU"/>
          <w:b w:val="0"/>
          <w:bCs w:val="0"/>
          <w:i w:val="0"/>
          <w:iCs w:val="0"/>
          <w:caps w:val="0"/>
          <w:color w:val="212121"/>
          <w:spacing w:val="0"/>
          <w:lang w:val="zh-CN" w:eastAsia="zh-CN"/>
        </w:rPr>
        <w:t>脱氧尿苷（</w:t>
      </w:r>
      <w:r>
        <w:rPr>
          <w:rStyle w:val="any"/>
          <w:rFonts w:ascii="Segoe UI" w:eastAsia="Segoe UI" w:hAnsi="Segoe UI" w:cs="Segoe UI"/>
          <w:b w:val="0"/>
          <w:bCs w:val="0"/>
          <w:i w:val="0"/>
          <w:iCs w:val="0"/>
          <w:caps w:val="0"/>
          <w:color w:val="212121"/>
          <w:spacing w:val="0"/>
          <w:lang w:val="zh-CN" w:eastAsia="zh-CN"/>
        </w:rPr>
        <w:t>EdU</w:t>
      </w:r>
      <w:r>
        <w:rPr>
          <w:rStyle w:val="any"/>
          <w:rFonts w:ascii="PMingLiU" w:eastAsia="PMingLiU" w:hAnsi="PMingLiU" w:cs="PMingLiU"/>
          <w:b w:val="0"/>
          <w:bCs w:val="0"/>
          <w:i w:val="0"/>
          <w:iCs w:val="0"/>
          <w:caps w:val="0"/>
          <w:color w:val="212121"/>
          <w:spacing w:val="0"/>
          <w:lang w:val="zh-CN" w:eastAsia="zh-CN"/>
        </w:rPr>
        <w:t>）、划痕、</w:t>
      </w:r>
      <w:r>
        <w:rPr>
          <w:rStyle w:val="any"/>
          <w:rFonts w:ascii="Segoe UI" w:eastAsia="Segoe UI" w:hAnsi="Segoe UI" w:cs="Segoe UI"/>
          <w:b w:val="0"/>
          <w:bCs w:val="0"/>
          <w:i w:val="0"/>
          <w:iCs w:val="0"/>
          <w:caps w:val="0"/>
          <w:color w:val="212121"/>
          <w:spacing w:val="0"/>
          <w:lang w:val="zh-CN" w:eastAsia="zh-CN"/>
        </w:rPr>
        <w:t xml:space="preserve">Transwell </w:t>
      </w:r>
      <w:r>
        <w:rPr>
          <w:rStyle w:val="any"/>
          <w:rFonts w:ascii="PMingLiU" w:eastAsia="PMingLiU" w:hAnsi="PMingLiU" w:cs="PMingLiU"/>
          <w:b w:val="0"/>
          <w:bCs w:val="0"/>
          <w:i w:val="0"/>
          <w:iCs w:val="0"/>
          <w:caps w:val="0"/>
          <w:color w:val="212121"/>
          <w:spacing w:val="0"/>
          <w:lang w:val="zh-CN" w:eastAsia="zh-CN"/>
        </w:rPr>
        <w:t>和流式细胞术（</w:t>
      </w:r>
      <w:r>
        <w:rPr>
          <w:rStyle w:val="any"/>
          <w:rFonts w:ascii="Segoe UI" w:eastAsia="Segoe UI" w:hAnsi="Segoe UI" w:cs="Segoe UI"/>
          <w:b w:val="0"/>
          <w:bCs w:val="0"/>
          <w:i w:val="0"/>
          <w:iCs w:val="0"/>
          <w:caps w:val="0"/>
          <w:color w:val="212121"/>
          <w:spacing w:val="0"/>
          <w:lang w:val="zh-CN" w:eastAsia="zh-CN"/>
        </w:rPr>
        <w:t>FCM</w:t>
      </w:r>
      <w:r>
        <w:rPr>
          <w:rStyle w:val="any"/>
          <w:rFonts w:ascii="PMingLiU" w:eastAsia="PMingLiU" w:hAnsi="PMingLiU" w:cs="PMingLiU"/>
          <w:b w:val="0"/>
          <w:bCs w:val="0"/>
          <w:i w:val="0"/>
          <w:iCs w:val="0"/>
          <w:caps w:val="0"/>
          <w:color w:val="212121"/>
          <w:spacing w:val="0"/>
          <w:lang w:val="zh-CN" w:eastAsia="zh-CN"/>
        </w:rPr>
        <w:t>）检测</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细胞生长、侵袭、迁移和凋亡。此外，还进行了基因集富集分析（</w:t>
      </w:r>
      <w:r>
        <w:rPr>
          <w:rStyle w:val="any"/>
          <w:rFonts w:ascii="Segoe UI" w:eastAsia="Segoe UI" w:hAnsi="Segoe UI" w:cs="Segoe UI"/>
          <w:b w:val="0"/>
          <w:bCs w:val="0"/>
          <w:i w:val="0"/>
          <w:iCs w:val="0"/>
          <w:caps w:val="0"/>
          <w:color w:val="212121"/>
          <w:spacing w:val="0"/>
          <w:lang w:val="zh-CN" w:eastAsia="zh-CN"/>
        </w:rPr>
        <w:t>GSEA</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 xml:space="preserve">WB </w:t>
      </w:r>
      <w:r>
        <w:rPr>
          <w:rStyle w:val="any"/>
          <w:rFonts w:ascii="PMingLiU" w:eastAsia="PMingLiU" w:hAnsi="PMingLiU" w:cs="PMingLiU"/>
          <w:b w:val="0"/>
          <w:bCs w:val="0"/>
          <w:i w:val="0"/>
          <w:iCs w:val="0"/>
          <w:caps w:val="0"/>
          <w:color w:val="212121"/>
          <w:spacing w:val="0"/>
          <w:lang w:val="zh-CN" w:eastAsia="zh-CN"/>
        </w:rPr>
        <w:t>检测和</w:t>
      </w:r>
      <w:r>
        <w:rPr>
          <w:rStyle w:val="any"/>
          <w:rFonts w:ascii="Segoe UI" w:eastAsia="Segoe UI" w:hAnsi="Segoe UI" w:cs="Segoe UI"/>
          <w:b w:val="0"/>
          <w:bCs w:val="0"/>
          <w:i w:val="0"/>
          <w:iCs w:val="0"/>
          <w:caps w:val="0"/>
          <w:color w:val="212121"/>
          <w:spacing w:val="0"/>
          <w:lang w:val="zh-CN" w:eastAsia="zh-CN"/>
        </w:rPr>
        <w:t xml:space="preserve"> RNA </w:t>
      </w:r>
      <w:r>
        <w:rPr>
          <w:rStyle w:val="any"/>
          <w:rFonts w:ascii="PMingLiU" w:eastAsia="PMingLiU" w:hAnsi="PMingLiU" w:cs="PMingLiU"/>
          <w:b w:val="0"/>
          <w:bCs w:val="0"/>
          <w:i w:val="0"/>
          <w:iCs w:val="0"/>
          <w:caps w:val="0"/>
          <w:color w:val="212121"/>
          <w:spacing w:val="0"/>
          <w:lang w:val="zh-CN" w:eastAsia="zh-CN"/>
        </w:rPr>
        <w:t>相互作用百科全书（</w:t>
      </w:r>
      <w:r>
        <w:rPr>
          <w:rStyle w:val="any"/>
          <w:rFonts w:ascii="Segoe UI" w:eastAsia="Segoe UI" w:hAnsi="Segoe UI" w:cs="Segoe UI"/>
          <w:b w:val="0"/>
          <w:bCs w:val="0"/>
          <w:i w:val="0"/>
          <w:iCs w:val="0"/>
          <w:caps w:val="0"/>
          <w:color w:val="212121"/>
          <w:spacing w:val="0"/>
          <w:lang w:val="zh-CN" w:eastAsia="zh-CN"/>
        </w:rPr>
        <w:t>ENCORI</w:t>
      </w:r>
      <w:r>
        <w:rPr>
          <w:rStyle w:val="any"/>
          <w:rFonts w:ascii="PMingLiU" w:eastAsia="PMingLiU" w:hAnsi="PMingLiU" w:cs="PMingLiU"/>
          <w:b w:val="0"/>
          <w:bCs w:val="0"/>
          <w:i w:val="0"/>
          <w:iCs w:val="0"/>
          <w:caps w:val="0"/>
          <w:color w:val="212121"/>
          <w:spacing w:val="0"/>
          <w:lang w:val="zh-CN" w:eastAsia="zh-CN"/>
        </w:rPr>
        <w:t>）分析，以分析</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调控的下游基因和信号通路。</w:t>
      </w:r>
      <w:r>
        <w:rPr>
          <w:rStyle w:val="any"/>
          <w:rFonts w:ascii="Segoe UI" w:eastAsia="Segoe UI" w:hAnsi="Segoe UI" w:cs="Segoe UI"/>
          <w:b w:val="0"/>
          <w:bCs w:val="0"/>
          <w:i w:val="0"/>
          <w:iCs w:val="0"/>
          <w:caps w:val="0"/>
          <w:color w:val="212121"/>
          <w:spacing w:val="0"/>
          <w:lang w:val="zh-CN" w:eastAsia="zh-CN"/>
        </w:rPr>
        <w:t xml:space="preserve"> </w:t>
      </w:r>
      <w:r>
        <w:rPr>
          <w:rStyle w:val="any"/>
          <w:rFonts w:ascii="PMingLiU" w:eastAsia="PMingLiU" w:hAnsi="PMingLiU" w:cs="PMingLiU"/>
          <w:b w:val="0"/>
          <w:bCs w:val="0"/>
          <w:i w:val="0"/>
          <w:iCs w:val="0"/>
          <w:caps w:val="0"/>
          <w:color w:val="212121"/>
          <w:spacing w:val="0"/>
          <w:lang w:val="zh-CN" w:eastAsia="zh-CN"/>
        </w:rPr>
        <w:t>体内，进行了肿瘤异种移植实验，以研究</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如何影响</w:t>
      </w:r>
      <w:r>
        <w:rPr>
          <w:rStyle w:val="any"/>
          <w:rFonts w:ascii="Segoe UI" w:eastAsia="Segoe UI" w:hAnsi="Segoe UI" w:cs="Segoe UI"/>
          <w:b w:val="0"/>
          <w:bCs w:val="0"/>
          <w:i w:val="0"/>
          <w:iCs w:val="0"/>
          <w:caps w:val="0"/>
          <w:color w:val="212121"/>
          <w:spacing w:val="0"/>
          <w:lang w:val="zh-CN" w:eastAsia="zh-CN"/>
        </w:rPr>
        <w:t xml:space="preserve"> BALB/c </w:t>
      </w:r>
      <w:r>
        <w:rPr>
          <w:rStyle w:val="any"/>
          <w:rFonts w:ascii="PMingLiU" w:eastAsia="PMingLiU" w:hAnsi="PMingLiU" w:cs="PMingLiU"/>
          <w:b w:val="0"/>
          <w:bCs w:val="0"/>
          <w:i w:val="0"/>
          <w:iCs w:val="0"/>
          <w:caps w:val="0"/>
          <w:color w:val="212121"/>
          <w:spacing w:val="0"/>
          <w:lang w:val="zh-CN" w:eastAsia="zh-CN"/>
        </w:rPr>
        <w:t>裸鼠的</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发育。功能上，</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敲低使细胞周期停滞在</w:t>
      </w:r>
      <w:r>
        <w:rPr>
          <w:rStyle w:val="any"/>
          <w:rFonts w:ascii="Segoe UI" w:eastAsia="Segoe UI" w:hAnsi="Segoe UI" w:cs="Segoe UI"/>
          <w:b w:val="0"/>
          <w:bCs w:val="0"/>
          <w:i w:val="0"/>
          <w:iCs w:val="0"/>
          <w:caps w:val="0"/>
          <w:color w:val="212121"/>
          <w:spacing w:val="0"/>
          <w:lang w:val="zh-CN" w:eastAsia="zh-CN"/>
        </w:rPr>
        <w:t xml:space="preserve"> G1 </w:t>
      </w:r>
      <w:r>
        <w:rPr>
          <w:rStyle w:val="any"/>
          <w:rFonts w:ascii="PMingLiU" w:eastAsia="PMingLiU" w:hAnsi="PMingLiU" w:cs="PMingLiU"/>
          <w:b w:val="0"/>
          <w:bCs w:val="0"/>
          <w:i w:val="0"/>
          <w:iCs w:val="0"/>
          <w:caps w:val="0"/>
          <w:color w:val="212121"/>
          <w:spacing w:val="0"/>
          <w:lang w:val="zh-CN" w:eastAsia="zh-CN"/>
        </w:rPr>
        <w:t>期，抑制了</w:t>
      </w:r>
      <w:r>
        <w:rPr>
          <w:rStyle w:val="any"/>
          <w:rFonts w:ascii="Segoe UI" w:eastAsia="Segoe UI" w:hAnsi="Segoe UI" w:cs="Segoe UI"/>
          <w:b w:val="0"/>
          <w:bCs w:val="0"/>
          <w:i w:val="0"/>
          <w:iCs w:val="0"/>
          <w:caps w:val="0"/>
          <w:color w:val="212121"/>
          <w:spacing w:val="0"/>
          <w:lang w:val="zh-CN" w:eastAsia="zh-CN"/>
        </w:rPr>
        <w:t xml:space="preserve"> AGS </w:t>
      </w:r>
      <w:r>
        <w:rPr>
          <w:rStyle w:val="any"/>
          <w:rFonts w:ascii="PMingLiU" w:eastAsia="PMingLiU" w:hAnsi="PMingLiU" w:cs="PMingLiU"/>
          <w:b w:val="0"/>
          <w:bCs w:val="0"/>
          <w:i w:val="0"/>
          <w:iCs w:val="0"/>
          <w:caps w:val="0"/>
          <w:color w:val="212121"/>
          <w:spacing w:val="0"/>
          <w:lang w:val="zh-CN" w:eastAsia="zh-CN"/>
        </w:rPr>
        <w:t>和</w:t>
      </w:r>
      <w:r>
        <w:rPr>
          <w:rStyle w:val="any"/>
          <w:rFonts w:ascii="Segoe UI" w:eastAsia="Segoe UI" w:hAnsi="Segoe UI" w:cs="Segoe UI"/>
          <w:b w:val="0"/>
          <w:bCs w:val="0"/>
          <w:i w:val="0"/>
          <w:iCs w:val="0"/>
          <w:caps w:val="0"/>
          <w:color w:val="212121"/>
          <w:spacing w:val="0"/>
          <w:lang w:val="zh-CN" w:eastAsia="zh-CN"/>
        </w:rPr>
        <w:t xml:space="preserve"> MKN28 </w:t>
      </w:r>
      <w:r>
        <w:rPr>
          <w:rStyle w:val="any"/>
          <w:rFonts w:ascii="PMingLiU" w:eastAsia="PMingLiU" w:hAnsi="PMingLiU" w:cs="PMingLiU"/>
          <w:b w:val="0"/>
          <w:bCs w:val="0"/>
          <w:i w:val="0"/>
          <w:iCs w:val="0"/>
          <w:caps w:val="0"/>
          <w:color w:val="212121"/>
          <w:spacing w:val="0"/>
          <w:lang w:val="zh-CN" w:eastAsia="zh-CN"/>
        </w:rPr>
        <w:t>细胞的侵袭和迁移，并增强了它们的凋亡。异位表达</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增强了细胞生长、迁移和侵袭，并抑制了凋亡。</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敲低抑制了</w:t>
      </w:r>
      <w:r>
        <w:rPr>
          <w:rStyle w:val="any"/>
          <w:rFonts w:ascii="Segoe UI" w:eastAsia="Segoe UI" w:hAnsi="Segoe UI" w:cs="Segoe UI"/>
          <w:b w:val="0"/>
          <w:bCs w:val="0"/>
          <w:i w:val="0"/>
          <w:iCs w:val="0"/>
          <w:caps w:val="0"/>
          <w:color w:val="212121"/>
          <w:spacing w:val="0"/>
          <w:lang w:val="zh-CN" w:eastAsia="zh-CN"/>
        </w:rPr>
        <w:t xml:space="preserve"> BALB/c </w:t>
      </w:r>
      <w:r>
        <w:rPr>
          <w:rStyle w:val="any"/>
          <w:rFonts w:ascii="PMingLiU" w:eastAsia="PMingLiU" w:hAnsi="PMingLiU" w:cs="PMingLiU"/>
          <w:b w:val="0"/>
          <w:bCs w:val="0"/>
          <w:i w:val="0"/>
          <w:iCs w:val="0"/>
          <w:caps w:val="0"/>
          <w:color w:val="212121"/>
          <w:spacing w:val="0"/>
          <w:lang w:val="zh-CN" w:eastAsia="zh-CN"/>
        </w:rPr>
        <w:t>裸鼠肿瘤模型中的</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生长。机制上，</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在转录后抑制了</w:t>
      </w:r>
      <w:r>
        <w:rPr>
          <w:rStyle w:val="any"/>
          <w:rFonts w:ascii="Segoe UI" w:eastAsia="Segoe UI" w:hAnsi="Segoe UI" w:cs="Segoe UI"/>
          <w:b w:val="0"/>
          <w:bCs w:val="0"/>
          <w:i w:val="0"/>
          <w:iCs w:val="0"/>
          <w:caps w:val="0"/>
          <w:color w:val="212121"/>
          <w:spacing w:val="0"/>
          <w:lang w:val="zh-CN" w:eastAsia="zh-CN"/>
        </w:rPr>
        <w:t xml:space="preserve"> FOXO1/p21 Cip1 </w:t>
      </w:r>
      <w:r>
        <w:rPr>
          <w:rStyle w:val="any"/>
          <w:rFonts w:ascii="PMingLiU" w:eastAsia="PMingLiU" w:hAnsi="PMingLiU" w:cs="PMingLiU"/>
          <w:b w:val="0"/>
          <w:bCs w:val="0"/>
          <w:i w:val="0"/>
          <w:iCs w:val="0"/>
          <w:caps w:val="0"/>
          <w:color w:val="212121"/>
          <w:spacing w:val="0"/>
          <w:lang w:val="zh-CN" w:eastAsia="zh-CN"/>
        </w:rPr>
        <w:t>蛋白的表达，这可以激活其下游的细胞周期</w:t>
      </w:r>
      <w:r>
        <w:rPr>
          <w:rStyle w:val="any"/>
          <w:rFonts w:ascii="Segoe UI" w:eastAsia="Segoe UI" w:hAnsi="Segoe UI" w:cs="Segoe UI"/>
          <w:b w:val="0"/>
          <w:bCs w:val="0"/>
          <w:i w:val="0"/>
          <w:iCs w:val="0"/>
          <w:caps w:val="0"/>
          <w:color w:val="212121"/>
          <w:spacing w:val="0"/>
          <w:lang w:val="zh-CN" w:eastAsia="zh-CN"/>
        </w:rPr>
        <w:t xml:space="preserve"> E1/CDK2/c-Myc </w:t>
      </w:r>
      <w:r>
        <w:rPr>
          <w:rStyle w:val="any"/>
          <w:rFonts w:ascii="PMingLiU" w:eastAsia="PMingLiU" w:hAnsi="PMingLiU" w:cs="PMingLiU"/>
          <w:b w:val="0"/>
          <w:bCs w:val="0"/>
          <w:i w:val="0"/>
          <w:iCs w:val="0"/>
          <w:caps w:val="0"/>
          <w:color w:val="212121"/>
          <w:spacing w:val="0"/>
          <w:lang w:val="zh-CN" w:eastAsia="zh-CN"/>
        </w:rPr>
        <w:t>信号通路。这有助于阐明</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发病机制，并提供了潜在的抗癌治疗靶点。</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1AAD19"/>
          <w:spacing w:val="0"/>
          <w:sz w:val="36"/>
          <w:szCs w:val="36"/>
          <w:lang w:val="zh-CN" w:eastAsia="zh-CN"/>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1AAD19"/>
          <w:spacing w:val="0"/>
          <w:sz w:val="30"/>
          <w:szCs w:val="30"/>
          <w:lang w:val="zh-CN" w:eastAsia="zh-CN"/>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36738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00155" name=""/>
                    <pic:cNvPicPr>
                      <a:picLocks noChangeAspect="1"/>
                    </pic:cNvPicPr>
                  </pic:nvPicPr>
                  <pic:blipFill>
                    <a:blip xmlns:r="http://schemas.openxmlformats.org/officeDocument/2006/relationships" r:embed="rId7"/>
                    <a:stretch>
                      <a:fillRect/>
                    </a:stretch>
                  </pic:blipFill>
                  <pic:spPr>
                    <a:xfrm>
                      <a:off x="0" y="0"/>
                      <a:ext cx="5486400" cy="536738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72916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48566" name=""/>
                    <pic:cNvPicPr>
                      <a:picLocks noChangeAspect="1"/>
                    </pic:cNvPicPr>
                  </pic:nvPicPr>
                  <pic:blipFill>
                    <a:blip xmlns:r="http://schemas.openxmlformats.org/officeDocument/2006/relationships" r:embed="rId8"/>
                    <a:stretch>
                      <a:fillRect/>
                    </a:stretch>
                  </pic:blipFill>
                  <pic:spPr>
                    <a:xfrm>
                      <a:off x="0" y="0"/>
                      <a:ext cx="5486400" cy="5729161"/>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358476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02410" name=""/>
                    <pic:cNvPicPr>
                      <a:picLocks noChangeAspect="1"/>
                    </pic:cNvPicPr>
                  </pic:nvPicPr>
                  <pic:blipFill>
                    <a:blip xmlns:r="http://schemas.openxmlformats.org/officeDocument/2006/relationships" r:embed="rId9"/>
                    <a:stretch>
                      <a:fillRect/>
                    </a:stretch>
                  </pic:blipFill>
                  <pic:spPr>
                    <a:xfrm>
                      <a:off x="0" y="0"/>
                      <a:ext cx="5486400" cy="3584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PMingLiU" w:eastAsia="PMingLiU" w:hAnsi="PMingLiU" w:cs="PMingLiU"/>
          <w:b/>
          <w:bCs/>
          <w:i w:val="0"/>
          <w:iCs w:val="0"/>
          <w:caps w:val="0"/>
          <w:color w:val="212121"/>
          <w:spacing w:val="9"/>
          <w:sz w:val="21"/>
          <w:szCs w:val="21"/>
          <w:lang w:val="zh-CN" w:eastAsia="zh-CN"/>
        </w:rPr>
        <w:t>参考信息</w:t>
      </w:r>
      <w:r>
        <w:rPr>
          <w:rStyle w:val="any"/>
          <w:rFonts w:ascii="Segoe UI" w:eastAsia="Segoe UI" w:hAnsi="Segoe UI" w:cs="Segoe UI"/>
          <w:b/>
          <w:bCs/>
          <w:i w:val="0"/>
          <w:iCs w:val="0"/>
          <w:caps w:val="0"/>
          <w:color w:val="212121"/>
          <w:spacing w:val="9"/>
          <w:sz w:val="21"/>
          <w:szCs w:val="21"/>
          <w:lang w:val="zh-CN" w:eastAsia="zh-CN"/>
        </w:rPr>
        <w:br/>
      </w:r>
      <w:r>
        <w:rPr>
          <w:rStyle w:val="any"/>
          <w:rFonts w:ascii="Segoe UI" w:eastAsia="Segoe UI" w:hAnsi="Segoe UI" w:cs="Segoe UI"/>
          <w:b/>
          <w:bCs/>
          <w:i w:val="0"/>
          <w:iCs w:val="0"/>
          <w:caps w:val="0"/>
          <w:color w:val="212121"/>
          <w:spacing w:val="9"/>
          <w:sz w:val="18"/>
          <w:szCs w:val="18"/>
          <w:lang w:val="zh-CN" w:eastAsia="zh-CN"/>
        </w:rPr>
        <w:t>https://pubmed.ncbi.nlm.nih.gov/35723050/</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Segoe UI" w:eastAsia="Segoe UI" w:hAnsi="Segoe UI" w:cs="Segoe UI"/>
          <w:b/>
          <w:bCs/>
          <w:i w:val="0"/>
          <w:iCs w:val="0"/>
          <w:caps w:val="0"/>
          <w:color w:val="212121"/>
          <w:spacing w:val="9"/>
          <w:sz w:val="18"/>
          <w:szCs w:val="18"/>
          <w:lang w:val="zh-CN" w:eastAsia="zh-CN"/>
        </w:rPr>
        <w:t>https://pubpeer.com/publications/46B3114976FEB73B61E99B889BA427#0</w:t>
      </w:r>
    </w:p>
    <w:p>
      <w:pPr>
        <w:pStyle w:val="anyParagraph"/>
        <w:numPr>
          <w:ilvl w:val="0"/>
          <w:numId w:val="1"/>
        </w:numPr>
        <w:shd w:val="clear" w:color="auto" w:fill="FFFFFF"/>
        <w:spacing w:before="150" w:after="0" w:line="390" w:lineRule="atLeast"/>
        <w:ind w:left="690" w:right="31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690" w:right="31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56&amp;idx=1&amp;sn=ef630bdcdf3e8ccc4c98b1d0892d590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