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多处图像重复及未经核实或授权更改作者署名，中国医学科学院阜外医院深圳医院（深圳市孙逸仙心血管医院陈协辉的论文被撤稿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2025-04-09 13:33:28</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421776"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779213"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30" w:right="33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2018</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5</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29</w:t>
      </w:r>
      <w:r>
        <w:rPr>
          <w:rStyle w:val="any"/>
          <w:rFonts w:ascii="PMingLiU" w:eastAsia="PMingLiU" w:hAnsi="PMingLiU" w:cs="PMingLiU"/>
          <w:spacing w:val="9"/>
          <w:sz w:val="21"/>
          <w:szCs w:val="21"/>
        </w:rPr>
        <w:t>日，中国医学科学院阜外医院深圳医院（深圳市孙逸仙心血管医院）的</w:t>
      </w:r>
      <w:r>
        <w:rPr>
          <w:rStyle w:val="any"/>
          <w:rFonts w:ascii="Times New Roman" w:eastAsia="Times New Roman" w:hAnsi="Times New Roman" w:cs="Times New Roman"/>
          <w:color w:val="C84D0C"/>
          <w:spacing w:val="9"/>
          <w:sz w:val="21"/>
          <w:szCs w:val="21"/>
        </w:rPr>
        <w:t>Hong-Lei Zhao</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 </w:t>
      </w:r>
      <w:r>
        <w:rPr>
          <w:rStyle w:val="any"/>
          <w:rFonts w:ascii="Times New Roman" w:eastAsia="Times New Roman" w:hAnsi="Times New Roman" w:cs="Times New Roman"/>
          <w:color w:val="C84D0C"/>
          <w:spacing w:val="9"/>
          <w:sz w:val="21"/>
          <w:szCs w:val="21"/>
        </w:rPr>
        <w:t>&amp; Bao-Quan Wu</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xml:space="preserve"> &amp; Ying Luo</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 &amp; </w:t>
      </w:r>
      <w:r>
        <w:rPr>
          <w:rStyle w:val="any"/>
          <w:rFonts w:ascii="Times New Roman" w:eastAsia="Times New Roman" w:hAnsi="Times New Roman" w:cs="Times New Roman"/>
          <w:color w:val="C84D0C"/>
          <w:spacing w:val="9"/>
          <w:sz w:val="21"/>
          <w:szCs w:val="21"/>
        </w:rPr>
        <w:t>Xie-Hui Chen</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w:t>
      </w:r>
      <w:r>
        <w:rPr>
          <w:rStyle w:val="any"/>
          <w:rFonts w:ascii="PMingLiU" w:eastAsia="PMingLiU" w:hAnsi="PMingLiU" w:cs="PMingLiU"/>
          <w:color w:val="C84D0C"/>
          <w:spacing w:val="9"/>
          <w:sz w:val="21"/>
          <w:szCs w:val="21"/>
        </w:rPr>
        <w:t>陈协辉）</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Life Sciences</w:t>
      </w:r>
      <w:r>
        <w:rPr>
          <w:rStyle w:val="any"/>
          <w:rFonts w:ascii="PMingLiU" w:eastAsia="PMingLiU" w:hAnsi="PMingLiU" w:cs="PMingLiU"/>
          <w:spacing w:val="9"/>
          <w:sz w:val="21"/>
          <w:szCs w:val="21"/>
        </w:rPr>
        <w:t>（中科院三区</w:t>
      </w:r>
      <w:r>
        <w:rPr>
          <w:rStyle w:val="any"/>
          <w:rFonts w:ascii="Times New Roman" w:eastAsia="Times New Roman" w:hAnsi="Times New Roman" w:cs="Times New Roman"/>
          <w:spacing w:val="9"/>
          <w:sz w:val="21"/>
          <w:szCs w:val="21"/>
        </w:rPr>
        <w:t xml:space="preserve"> IF=5.2</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w:t>
      </w:r>
      <w:r>
        <w:rPr>
          <w:rStyle w:val="any"/>
          <w:rFonts w:ascii="Times New Roman" w:eastAsia="Times New Roman" w:hAnsi="Times New Roman" w:cs="Times New Roman"/>
          <w:color w:val="C84D0C"/>
          <w:spacing w:val="9"/>
          <w:sz w:val="21"/>
          <w:szCs w:val="21"/>
        </w:rPr>
        <w:t>Exogenous hydrogen sulfide ameliorates high glucose-induced myocardial injury &amp; inflammation via the CIRP-MAPK signaling pathway in H9c2 cardiac cells"</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外源性硫化氢通过</w:t>
      </w:r>
      <w:r>
        <w:rPr>
          <w:rStyle w:val="any"/>
          <w:rFonts w:ascii="Times New Roman" w:eastAsia="Times New Roman" w:hAnsi="Times New Roman" w:cs="Times New Roman"/>
          <w:spacing w:val="9"/>
          <w:sz w:val="21"/>
          <w:szCs w:val="21"/>
        </w:rPr>
        <w:t xml:space="preserve"> CIRP-MAPK </w:t>
      </w:r>
      <w:r>
        <w:rPr>
          <w:rStyle w:val="any"/>
          <w:rFonts w:ascii="PMingLiU" w:eastAsia="PMingLiU" w:hAnsi="PMingLiU" w:cs="PMingLiU"/>
          <w:spacing w:val="9"/>
          <w:sz w:val="21"/>
          <w:szCs w:val="21"/>
        </w:rPr>
        <w:t>信号通路改善</w:t>
      </w:r>
      <w:r>
        <w:rPr>
          <w:rStyle w:val="any"/>
          <w:rFonts w:ascii="Times New Roman" w:eastAsia="Times New Roman" w:hAnsi="Times New Roman" w:cs="Times New Roman"/>
          <w:spacing w:val="9"/>
          <w:sz w:val="21"/>
          <w:szCs w:val="21"/>
        </w:rPr>
        <w:t xml:space="preserve"> H9c2 </w:t>
      </w:r>
      <w:r>
        <w:rPr>
          <w:rStyle w:val="any"/>
          <w:rFonts w:ascii="PMingLiU" w:eastAsia="PMingLiU" w:hAnsi="PMingLiU" w:cs="PMingLiU"/>
          <w:spacing w:val="9"/>
          <w:sz w:val="21"/>
          <w:szCs w:val="21"/>
        </w:rPr>
        <w:t>心肌细胞中由高血糖诱发的心肌损伤和炎症反应</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pStyle w:val="p"/>
        <w:pBdr>
          <w:top w:val="none" w:sz="0" w:space="0" w:color="auto"/>
          <w:left w:val="none" w:sz="0" w:space="0" w:color="auto"/>
          <w:bottom w:val="none" w:sz="0" w:space="0" w:color="auto"/>
          <w:right w:val="none" w:sz="0" w:space="0" w:color="auto"/>
        </w:pBdr>
        <w:spacing w:before="0" w:after="0" w:line="432" w:lineRule="atLeast"/>
        <w:ind w:left="330" w:right="33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432" w:lineRule="atLeast"/>
        <w:ind w:left="330" w:right="330"/>
        <w:rPr>
          <w:rStyle w:val="any"/>
          <w:rFonts w:ascii="Times New Roman" w:eastAsia="Times New Roman" w:hAnsi="Times New Roman" w:cs="Times New Roman"/>
          <w:spacing w:val="9"/>
        </w:rPr>
      </w:pPr>
      <w:r>
        <w:rPr>
          <w:rStyle w:val="any"/>
          <w:rFonts w:ascii="PMingLiU" w:eastAsia="PMingLiU" w:hAnsi="PMingLiU" w:cs="PMingLiU"/>
          <w:spacing w:val="9"/>
          <w:sz w:val="21"/>
          <w:szCs w:val="21"/>
        </w:rPr>
        <w:t>本研究得到深圳市卫生和计划生育委员会重点项目的支持（项目编号：</w:t>
      </w:r>
      <w:r>
        <w:rPr>
          <w:rStyle w:val="any"/>
          <w:rFonts w:ascii="Times New Roman" w:eastAsia="Times New Roman" w:hAnsi="Times New Roman" w:cs="Times New Roman"/>
          <w:spacing w:val="9"/>
          <w:sz w:val="21"/>
          <w:szCs w:val="21"/>
        </w:rPr>
        <w:t>SZXJ2017020</w:t>
      </w:r>
      <w:r>
        <w:rPr>
          <w:rStyle w:val="any"/>
          <w:rFonts w:ascii="PMingLiU" w:eastAsia="PMingLiU" w:hAnsi="PMingLiU" w:cs="PMingLiU"/>
          <w:spacing w:val="9"/>
          <w:sz w:val="21"/>
          <w:szCs w:val="21"/>
        </w:rPr>
        <w:t>、</w:t>
      </w:r>
      <w:r>
        <w:rPr>
          <w:rStyle w:val="any"/>
          <w:rFonts w:ascii="Times New Roman" w:eastAsia="Times New Roman" w:hAnsi="Times New Roman" w:cs="Times New Roman"/>
          <w:spacing w:val="9"/>
          <w:sz w:val="21"/>
          <w:szCs w:val="21"/>
        </w:rPr>
        <w:t>SZSM201612056</w:t>
      </w:r>
      <w:r>
        <w:rPr>
          <w:rStyle w:val="any"/>
          <w:rFonts w:ascii="PMingLiU" w:eastAsia="PMingLiU" w:hAnsi="PMingLiU" w:cs="PMingLiU"/>
          <w:spacing w:val="9"/>
          <w:sz w:val="21"/>
          <w:szCs w:val="21"/>
        </w:rPr>
        <w:t>）。</w:t>
      </w:r>
    </w:p>
    <w:p>
      <w:pPr>
        <w:spacing w:before="0" w:after="0" w:line="378" w:lineRule="atLeast"/>
        <w:ind w:left="315" w:right="315"/>
        <w:rPr>
          <w:rStyle w:val="any"/>
          <w:rFonts w:ascii="Times New Roman" w:eastAsia="Times New Roman" w:hAnsi="Times New Roman" w:cs="Times New Roman"/>
          <w:spacing w:val="9"/>
          <w:sz w:val="21"/>
          <w:szCs w:val="21"/>
        </w:rPr>
      </w:pP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4737444"/>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760104" name=""/>
                    <pic:cNvPicPr>
                      <a:picLocks noChangeAspect="1"/>
                    </pic:cNvPicPr>
                  </pic:nvPicPr>
                  <pic:blipFill>
                    <a:blip xmlns:r="http://schemas.openxmlformats.org/officeDocument/2006/relationships" r:embed="rId8"/>
                    <a:stretch>
                      <a:fillRect/>
                    </a:stretch>
                  </pic:blipFill>
                  <pic:spPr>
                    <a:xfrm>
                      <a:off x="0" y="0"/>
                      <a:ext cx="5486400" cy="4737444"/>
                    </a:xfrm>
                    <a:prstGeom prst="rect">
                      <a:avLst/>
                    </a:prstGeom>
                  </pic:spPr>
                </pic:pic>
              </a:graphicData>
            </a:graphic>
          </wp:inline>
        </w:drawing>
      </w: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3152851"/>
            <wp:docPr id="100004" name="" descr="医院动态-中国医学科学院阜外医院深圳医院（深圳市孙逸仙心血管医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807196" name=""/>
                    <pic:cNvPicPr>
                      <a:picLocks noChangeAspect="1"/>
                    </pic:cNvPicPr>
                  </pic:nvPicPr>
                  <pic:blipFill>
                    <a:blip xmlns:r="http://schemas.openxmlformats.org/officeDocument/2006/relationships" r:embed="rId9"/>
                    <a:stretch>
                      <a:fillRect/>
                    </a:stretch>
                  </pic:blipFill>
                  <pic:spPr>
                    <a:xfrm>
                      <a:off x="0" y="0"/>
                      <a:ext cx="5486400" cy="3152851"/>
                    </a:xfrm>
                    <a:prstGeom prst="rect">
                      <a:avLst/>
                    </a:prstGeom>
                  </pic:spPr>
                </pic:pic>
              </a:graphicData>
            </a:graphic>
          </wp:inline>
        </w:drawing>
      </w: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387615"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图8B,D的WB印迹出现在多篇无关论文中。</w:t>
      </w: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val="0"/>
          <w:bCs w:val="0"/>
          <w:i w:val="0"/>
          <w:iCs w:val="0"/>
          <w:caps w:val="0"/>
          <w:color w:val="3E3E3E"/>
          <w:spacing w:val="9"/>
          <w:sz w:val="21"/>
          <w:szCs w:val="21"/>
        </w:rPr>
        <w:t>Fig 8B,D.</w:t>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30480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233089" name=""/>
                    <pic:cNvPicPr>
                      <a:picLocks noChangeAspect="1"/>
                    </pic:cNvPicPr>
                  </pic:nvPicPr>
                  <pic:blipFill>
                    <a:blip xmlns:r="http://schemas.openxmlformats.org/officeDocument/2006/relationships" r:embed="rId10"/>
                    <a:stretch>
                      <a:fillRect/>
                    </a:stretch>
                  </pic:blipFill>
                  <pic:spPr>
                    <a:xfrm>
                      <a:off x="0" y="0"/>
                      <a:ext cx="5486400" cy="3048000"/>
                    </a:xfrm>
                    <a:prstGeom prst="rect">
                      <a:avLst/>
                    </a:prstGeom>
                  </pic:spPr>
                </pic:pic>
              </a:graphicData>
            </a:graphic>
          </wp:inline>
        </w:drawing>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For comparison, picking one match for 8B out of multiple options, here are FIgs 4A, 7C from Long et al (2018).</w:t>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257556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341024" name=""/>
                    <pic:cNvPicPr>
                      <a:picLocks noChangeAspect="1"/>
                    </pic:cNvPicPr>
                  </pic:nvPicPr>
                  <pic:blipFill>
                    <a:blip xmlns:r="http://schemas.openxmlformats.org/officeDocument/2006/relationships" r:embed="rId11"/>
                    <a:stretch>
                      <a:fillRect/>
                    </a:stretch>
                  </pic:blipFill>
                  <pic:spPr>
                    <a:xfrm>
                      <a:off x="0" y="0"/>
                      <a:ext cx="5486400" cy="2575560"/>
                    </a:xfrm>
                    <a:prstGeom prst="rect">
                      <a:avLst/>
                    </a:prstGeom>
                  </pic:spPr>
                </pic:pic>
              </a:graphicData>
            </a:graphic>
          </wp:inline>
        </w:drawing>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The loading control for 8D has again multiplied itself across this oeuvre of papers. Here, Fig 9c of (Zhang et al (2019)]</w:t>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5902036"/>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228126" name=""/>
                    <pic:cNvPicPr>
                      <a:picLocks noChangeAspect="1"/>
                    </pic:cNvPicPr>
                  </pic:nvPicPr>
                  <pic:blipFill>
                    <a:blip xmlns:r="http://schemas.openxmlformats.org/officeDocument/2006/relationships" r:embed="rId12"/>
                    <a:stretch>
                      <a:fillRect/>
                    </a:stretch>
                  </pic:blipFill>
                  <pic:spPr>
                    <a:xfrm>
                      <a:off x="0" y="0"/>
                      <a:ext cx="5486400" cy="5902036"/>
                    </a:xfrm>
                    <a:prstGeom prst="rect">
                      <a:avLst/>
                    </a:prstGeom>
                  </pic:spPr>
                </pic:pic>
              </a:graphicData>
            </a:graphic>
          </wp:inline>
        </w:drawing>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At left, Fig 4B from Tian et al (2018). "Western blot analysis demonstrates that miR‐485 reduces the protein expressions of RhoA, IL‐6, TGF‐β, and p38MAPKs as well as the extent of p‐p38MAPK". At right, Fig 7C from Han et al (2018). "Gray value of cAMP, PKA and CREB1 protein bands".</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223012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341822" name=""/>
                    <pic:cNvPicPr>
                      <a:picLocks noChangeAspect="1"/>
                    </pic:cNvPicPr>
                  </pic:nvPicPr>
                  <pic:blipFill>
                    <a:blip xmlns:r="http://schemas.openxmlformats.org/officeDocument/2006/relationships" r:embed="rId13"/>
                    <a:stretch>
                      <a:fillRect/>
                    </a:stretch>
                  </pic:blipFill>
                  <pic:spPr>
                    <a:xfrm>
                      <a:off x="0" y="0"/>
                      <a:ext cx="5486400" cy="2230120"/>
                    </a:xfrm>
                    <a:prstGeom prst="rect">
                      <a:avLst/>
                    </a:prstGeom>
                  </pic:spPr>
                </pic:pic>
              </a:graphicData>
            </a:graphic>
          </wp:inline>
        </w:drawing>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图6存在多处重复面板。</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Fig 6. A panel is duplicated. Two pairs of panels overlap.</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 </w:t>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6032612"/>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963702" name=""/>
                    <pic:cNvPicPr>
                      <a:picLocks noChangeAspect="1"/>
                    </pic:cNvPicPr>
                  </pic:nvPicPr>
                  <pic:blipFill>
                    <a:blip xmlns:r="http://schemas.openxmlformats.org/officeDocument/2006/relationships" r:embed="rId14"/>
                    <a:stretch>
                      <a:fillRect/>
                    </a:stretch>
                  </pic:blipFill>
                  <pic:spPr>
                    <a:xfrm>
                      <a:off x="0" y="0"/>
                      <a:ext cx="5486400" cy="6032612"/>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378" w:lineRule="atLeast"/>
        <w:ind w:left="345" w:right="345" w:firstLine="0"/>
        <w:jc w:val="both"/>
        <w:rPr>
          <w:rStyle w:val="any"/>
          <w:rFonts w:ascii="Microsoft YaHei UI" w:eastAsia="Microsoft YaHei UI" w:hAnsi="Microsoft YaHei UI" w:cs="Microsoft YaHei UI"/>
          <w:b w:val="0"/>
          <w:bCs w:val="0"/>
          <w:i w:val="0"/>
          <w:iCs w:val="0"/>
          <w:caps w:val="0"/>
          <w:color w:val="3E3E3E"/>
          <w:spacing w:val="9"/>
          <w:sz w:val="21"/>
          <w:szCs w:val="21"/>
        </w:rPr>
      </w:pPr>
    </w:p>
    <w:p>
      <w:pPr>
        <w:widowControl/>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971743"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于2025年3月28日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3E3E3E"/>
          <w:spacing w:val="9"/>
          <w:sz w:val="21"/>
          <w:szCs w:val="21"/>
        </w:rPr>
        <w:t>已发现多处图像重复情况。图6A的多个面板存在重复（例如，对照组顶部与NaHS + HG组底部，以及U0126组顶部）。图1B中的“CIRP-NC”条带似乎也与Long等人（2018年）提交给《Molecules and Cells》的文章（在本文提交前3个月，DOI：10.14348/molcells.2018.2211）中图10D的“β-肌动蛋白miR-374b抑制剂”条带重复。此外，在本文修订过程中，未经核实或授权就多次更改作者署名，违反了期刊政策：在第一次修订时删除了两名作者，增加了一名作者后又将其删除，并在修订后的论文中增加了Yun-Ling Hao、Fang Fang和Wen-Ying Zhang三名作者。</w:t>
      </w: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此项调查由爱思唯尔的研究诚信与出版伦理团队进行，并得到了主编的确认。</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作者同意撤稿。</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98277"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https://pubpeer.com/publications/5615E7E0E85566E1D2BDD27E5136AF</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https://pubmed.ncbi.nlm.nih.gov/29857073/</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https://www.sciencedirect.com/science/article/pii/S0024320518303199?via%3Dihub</w:t>
      </w:r>
    </w:p>
    <w:p>
      <w:pPr>
        <w:spacing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numbering" Target="numbering.xm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7026&amp;idx=5&amp;sn=5d62ed0ca1b0cf9f703cff15dc36fcae"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