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135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2250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37729"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189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9763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