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关注！第四军医大学一研究被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11:16:22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80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https://pubpeer.com/publications/F0729F0F992F36C013D6920579D1BD#0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Glucose- and glutamine-dependent bioenergetics sensitize bone mechanoresponse after unloading by modulating osteocyte calcium dynamics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葡萄糖和谷氨酰胺依赖的生物能代谢通过调节骨细胞钙动态，增强卸载后骨的机械应答敏感性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Xiyu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第四军医大学生物医学工程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Da Jing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第四军医大学生物医学工程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4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4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280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5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2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https://pubpeer.com/publications/F0729F0F992F36C013D6920579D1BD#0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795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46&amp;idx=1&amp;sn=d809e987ad4195839d7ddf964b2147d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