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湖北太和医院药学系</w:t>
        </w:r>
        <w:r>
          <w:rPr>
            <w:rStyle w:val="a"/>
            <w:rFonts w:ascii="Times New Roman" w:eastAsia="Times New Roman" w:hAnsi="Times New Roman" w:cs="Times New Roman"/>
            <w:b w:val="0"/>
            <w:bCs w:val="0"/>
            <w:spacing w:val="8"/>
          </w:rPr>
          <w:t>J Biomed Mater Res A</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条带操控遭撤回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5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313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湖北太和医院</w:t>
            </w:r>
            <w:r>
              <w:rPr>
                <w:rStyle w:val="any"/>
                <w:rFonts w:ascii="PMingLiU" w:eastAsia="PMingLiU" w:hAnsi="PMingLiU" w:cs="PMingLiU"/>
                <w:b/>
                <w:bCs/>
                <w:i w:val="0"/>
                <w:iCs w:val="0"/>
                <w:caps w:val="0"/>
                <w:smallCaps w:val="0"/>
                <w:color w:val="111111"/>
                <w:spacing w:val="8"/>
                <w:sz w:val="28"/>
                <w:szCs w:val="28"/>
              </w:rPr>
              <w:t>药学系</w:t>
            </w:r>
            <w:r>
              <w:rPr>
                <w:rStyle w:val="any"/>
                <w:b/>
                <w:bCs/>
                <w:i w:val="0"/>
                <w:iCs w:val="0"/>
                <w:caps w:val="0"/>
                <w:smallCaps w:val="0"/>
                <w:color w:val="111111"/>
                <w:spacing w:val="8"/>
                <w:sz w:val="28"/>
                <w:szCs w:val="28"/>
              </w:rPr>
              <w:t>J Biomed Mater Res A</w:t>
            </w:r>
            <w:r>
              <w:rPr>
                <w:rStyle w:val="any"/>
                <w:rFonts w:ascii="宋体" w:eastAsia="宋体" w:hAnsi="宋体" w:cs="宋体"/>
                <w:b/>
                <w:bCs/>
                <w:i w:val="0"/>
                <w:iCs w:val="0"/>
                <w:caps w:val="0"/>
                <w:smallCaps w:val="0"/>
                <w:color w:val="111111"/>
                <w:spacing w:val="8"/>
                <w:sz w:val="28"/>
                <w:szCs w:val="28"/>
              </w:rPr>
              <w:t>论文</w:t>
            </w:r>
            <w:r>
              <w:rPr>
                <w:rStyle w:val="any"/>
                <w:b/>
                <w:bCs/>
                <w:i w:val="0"/>
                <w:iCs w:val="0"/>
                <w:caps w:val="0"/>
                <w:smallCaps w:val="0"/>
                <w:color w:val="111111"/>
                <w:spacing w:val="8"/>
                <w:sz w:val="28"/>
                <w:szCs w:val="28"/>
              </w:rPr>
              <w:t>WB</w:t>
            </w:r>
            <w:r>
              <w:rPr>
                <w:rStyle w:val="any"/>
                <w:rFonts w:ascii="PMingLiU" w:eastAsia="PMingLiU" w:hAnsi="PMingLiU" w:cs="PMingLiU"/>
                <w:b/>
                <w:bCs/>
                <w:i w:val="0"/>
                <w:iCs w:val="0"/>
                <w:caps w:val="0"/>
                <w:smallCaps w:val="0"/>
                <w:color w:val="111111"/>
                <w:spacing w:val="8"/>
                <w:sz w:val="28"/>
                <w:szCs w:val="28"/>
              </w:rPr>
              <w:t>条带操控遭撤回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PEG2000-DPSE-coated quercetin nanoparticles remarkably enhanced anticancer effects through induced programed cell death on C6 glioma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包被的槲皮素纳米粒通过诱导程序性细胞死亡显著增强对</w:t>
            </w:r>
            <w:r>
              <w:rPr>
                <w:rStyle w:val="any"/>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胶质瘤细胞的抗癌作用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在这项研究中，聚乙二醇化纳米粒子槲皮素药物递送载体被研究作为抗癌药物诱导程序性细胞死亡（</w:t>
            </w:r>
            <w:r>
              <w:rPr>
                <w:rStyle w:val="any"/>
                <w:rFonts w:ascii="Tahoma" w:eastAsia="Tahoma" w:hAnsi="Tahoma" w:cs="Tahoma"/>
                <w:b w:val="0"/>
                <w:bCs w:val="0"/>
                <w:i w:val="0"/>
                <w:iCs w:val="0"/>
                <w:caps w:val="0"/>
                <w:smallCaps w:val="0"/>
                <w:color w:val="111111"/>
                <w:spacing w:val="8"/>
                <w:sz w:val="21"/>
                <w:szCs w:val="21"/>
              </w:rPr>
              <w:t>PCD</w:t>
            </w:r>
            <w:r>
              <w:rPr>
                <w:rStyle w:val="any"/>
                <w:rFonts w:ascii="PMingLiU" w:eastAsia="PMingLiU" w:hAnsi="PMingLiU" w:cs="PMingLiU"/>
                <w:b w:val="0"/>
                <w:bCs w:val="0"/>
                <w:i w:val="0"/>
                <w:iCs w:val="0"/>
                <w:caps w:val="0"/>
                <w:smallCaps w:val="0"/>
                <w:color w:val="111111"/>
                <w:spacing w:val="8"/>
                <w:sz w:val="21"/>
                <w:szCs w:val="21"/>
              </w:rPr>
              <w:t>）的载体。制备</w:t>
            </w:r>
            <w:r>
              <w:rPr>
                <w:rStyle w:val="any"/>
                <w:rFonts w:ascii="Tahoma" w:eastAsia="Tahoma" w:hAnsi="Tahoma" w:cs="Tahoma"/>
                <w:b w:val="0"/>
                <w:bCs w:val="0"/>
                <w:i w:val="0"/>
                <w:iCs w:val="0"/>
                <w:caps w:val="0"/>
                <w:smallCaps w:val="0"/>
                <w:color w:val="111111"/>
                <w:spacing w:val="8"/>
                <w:sz w:val="21"/>
                <w:szCs w:val="21"/>
              </w:rPr>
              <w:t>PEG2000 DPSE</w:t>
            </w:r>
            <w:r>
              <w:rPr>
                <w:rStyle w:val="any"/>
                <w:rFonts w:ascii="PMingLiU" w:eastAsia="PMingLiU" w:hAnsi="PMingLiU" w:cs="PMingLiU"/>
                <w:b w:val="0"/>
                <w:bCs w:val="0"/>
                <w:i w:val="0"/>
                <w:iCs w:val="0"/>
                <w:caps w:val="0"/>
                <w:smallCaps w:val="0"/>
                <w:color w:val="111111"/>
                <w:spacing w:val="8"/>
                <w:sz w:val="21"/>
                <w:szCs w:val="21"/>
              </w:rPr>
              <w:t>包覆的槲皮素纳米颗粒，研究其对胶质瘤</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细胞的肿瘤细胞杀伤效果，并检测细胞存活、凋亡或坏死情况。测定</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产生水平和线粒体膜电位（</w:t>
            </w:r>
            <w:r>
              <w:rPr>
                <w:rStyle w:val="any"/>
                <w:rFonts w:ascii="Tahoma" w:eastAsia="Tahoma" w:hAnsi="Tahoma" w:cs="Tahoma"/>
                <w:b w:val="0"/>
                <w:bCs w:val="0"/>
                <w:i w:val="0"/>
                <w:iCs w:val="0"/>
                <w:caps w:val="0"/>
                <w:smallCaps w:val="0"/>
                <w:color w:val="111111"/>
                <w:spacing w:val="8"/>
                <w:sz w:val="21"/>
                <w:szCs w:val="21"/>
              </w:rPr>
              <w:t>ΔΨm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Western blot</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p-p53</w:t>
            </w:r>
            <w:r>
              <w:rPr>
                <w:rStyle w:val="any"/>
                <w:rFonts w:ascii="PMingLiU" w:eastAsia="PMingLiU" w:hAnsi="PMingLiU" w:cs="PMingLiU"/>
                <w:b w:val="0"/>
                <w:bCs w:val="0"/>
                <w:i w:val="0"/>
                <w:iCs w:val="0"/>
                <w:caps w:val="0"/>
                <w:smallCaps w:val="0"/>
                <w:color w:val="111111"/>
                <w:spacing w:val="8"/>
                <w:sz w:val="21"/>
                <w:szCs w:val="21"/>
              </w:rPr>
              <w:t>、细胞色素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和胱天蛋白酶蛋白的表达。结果表明，</w:t>
            </w:r>
            <w:r>
              <w:rPr>
                <w:rStyle w:val="any"/>
                <w:rFonts w:ascii="Tahoma" w:eastAsia="Tahoma" w:hAnsi="Tahoma" w:cs="Tahoma"/>
                <w:b w:val="0"/>
                <w:bCs w:val="0"/>
                <w:i w:val="0"/>
                <w:iCs w:val="0"/>
                <w:caps w:val="0"/>
                <w:smallCaps w:val="0"/>
                <w:color w:val="111111"/>
                <w:spacing w:val="8"/>
                <w:sz w:val="21"/>
                <w:szCs w:val="21"/>
              </w:rPr>
              <w:t>PEG2000-DPSE-QUE-NPS</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胶质瘤细胞表现出剂量依赖性的细胞毒性，</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积累增强导致</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蛋白上调，同时细胞色素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和半胱氨酸天冬氨酸蛋白酶</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蛋白水平升高。这些结果支持了槲皮素纳米颗粒包覆</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显著增强</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胶质瘤细胞诱导程序性细胞死亡的抗癌作用的假设。总体而言，</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包被的槲皮素纳米颗粒显示出作为癌症治疗药物载体的潜力。</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湖北省十堰市湖北医科大学泰和医院药学系，</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J Biomed Mater Res A</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WB</w:t>
            </w:r>
            <w:r>
              <w:rPr>
                <w:rStyle w:val="any"/>
                <w:rFonts w:ascii="PMingLiU" w:eastAsia="PMingLiU" w:hAnsi="PMingLiU" w:cs="PMingLiU"/>
                <w:b w:val="0"/>
                <w:bCs w:val="0"/>
                <w:i w:val="0"/>
                <w:iCs w:val="0"/>
                <w:caps w:val="0"/>
                <w:smallCaps w:val="0"/>
                <w:color w:val="111111"/>
                <w:spacing w:val="8"/>
                <w:sz w:val="21"/>
                <w:szCs w:val="21"/>
              </w:rPr>
              <w:t>条带操控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25</w:t>
            </w:r>
            <w:r>
              <w:rPr>
                <w:rStyle w:val="any"/>
                <w:rFonts w:ascii="PMingLiU" w:eastAsia="PMingLiU" w:hAnsi="PMingLiU" w:cs="PMingLiU"/>
                <w:b w:val="0"/>
                <w:bCs w:val="0"/>
                <w:i w:val="0"/>
                <w:iCs w:val="0"/>
                <w:caps w:val="0"/>
                <w:smallCaps w:val="0"/>
                <w:color w:val="111111"/>
                <w:spacing w:val="8"/>
                <w:sz w:val="21"/>
                <w:szCs w:val="21"/>
              </w:rPr>
              <w:t>日在线发表在威利在线图书馆</w:t>
            </w:r>
            <w:r>
              <w:rPr>
                <w:rStyle w:val="any"/>
                <w:rFonts w:ascii="Tahoma" w:eastAsia="Tahoma" w:hAnsi="Tahoma" w:cs="Tahoma"/>
                <w:b w:val="0"/>
                <w:bCs w:val="0"/>
                <w:i w:val="0"/>
                <w:iCs w:val="0"/>
                <w:caps w:val="0"/>
                <w:smallCaps w:val="0"/>
                <w:color w:val="111111"/>
                <w:spacing w:val="8"/>
                <w:sz w:val="21"/>
                <w:szCs w:val="21"/>
              </w:rPr>
              <w:t>(http://onlinelibrary.wiley.com/)</w:t>
            </w:r>
            <w:r>
              <w:rPr>
                <w:rStyle w:val="any"/>
                <w:rFonts w:ascii="PMingLiU" w:eastAsia="PMingLiU" w:hAnsi="PMingLiU" w:cs="PMingLiU"/>
                <w:b w:val="0"/>
                <w:bCs w:val="0"/>
                <w:i w:val="0"/>
                <w:iCs w:val="0"/>
                <w:caps w:val="0"/>
                <w:smallCaps w:val="0"/>
                <w:color w:val="111111"/>
                <w:spacing w:val="8"/>
                <w:sz w:val="21"/>
                <w:szCs w:val="21"/>
              </w:rPr>
              <w:t>，已被杂志主编</w:t>
            </w:r>
            <w:r>
              <w:rPr>
                <w:rStyle w:val="any"/>
                <w:rFonts w:ascii="Tahoma" w:eastAsia="Tahoma" w:hAnsi="Tahoma" w:cs="Tahoma"/>
                <w:b w:val="0"/>
                <w:bCs w:val="0"/>
                <w:i w:val="0"/>
                <w:iCs w:val="0"/>
                <w:caps w:val="0"/>
                <w:smallCaps w:val="0"/>
                <w:color w:val="111111"/>
                <w:spacing w:val="8"/>
                <w:sz w:val="21"/>
                <w:szCs w:val="21"/>
              </w:rPr>
              <w:t>J.Kent Leach</w:t>
            </w:r>
            <w:r>
              <w:rPr>
                <w:rStyle w:val="any"/>
                <w:rFonts w:ascii="PMingLiU" w:eastAsia="PMingLiU" w:hAnsi="PMingLiU" w:cs="PMingLiU"/>
                <w:b w:val="0"/>
                <w:bCs w:val="0"/>
                <w:i w:val="0"/>
                <w:iCs w:val="0"/>
                <w:caps w:val="0"/>
                <w:smallCaps w:val="0"/>
                <w:color w:val="111111"/>
                <w:spacing w:val="8"/>
                <w:sz w:val="21"/>
                <w:szCs w:val="21"/>
              </w:rPr>
              <w:t>同意撤回；第三方向出版商报告了本文中关于重复图像的几个问题，包括图</w:t>
            </w:r>
            <w:r>
              <w:rPr>
                <w:rStyle w:val="any"/>
                <w:rFonts w:ascii="Tahoma" w:eastAsia="Tahoma" w:hAnsi="Tahoma" w:cs="Tahoma"/>
                <w:b w:val="0"/>
                <w:bCs w:val="0"/>
                <w:i w:val="0"/>
                <w:iCs w:val="0"/>
                <w:caps w:val="0"/>
                <w:smallCaps w:val="0"/>
                <w:color w:val="111111"/>
                <w:spacing w:val="8"/>
                <w:sz w:val="21"/>
                <w:szCs w:val="21"/>
              </w:rPr>
              <w:t>4B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4D</w:t>
            </w:r>
            <w:r>
              <w:rPr>
                <w:rStyle w:val="any"/>
                <w:rFonts w:ascii="PMingLiU" w:eastAsia="PMingLiU" w:hAnsi="PMingLiU" w:cs="PMingLiU"/>
                <w:b w:val="0"/>
                <w:bCs w:val="0"/>
                <w:i w:val="0"/>
                <w:iCs w:val="0"/>
                <w:caps w:val="0"/>
                <w:smallCaps w:val="0"/>
                <w:color w:val="111111"/>
                <w:spacing w:val="8"/>
                <w:sz w:val="21"/>
                <w:szCs w:val="21"/>
              </w:rPr>
              <w:t>之间的情节重复；复制图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中的图像；并将图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中的所有图像与许多同一作者发表的另一篇文章进行复制（</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等人，</w:t>
            </w:r>
            <w:r>
              <w:rPr>
                <w:rStyle w:val="any"/>
                <w:rFonts w:ascii="Tahoma" w:eastAsia="Tahoma" w:hAnsi="Tahoma" w:cs="Tahoma"/>
                <w:b w:val="0"/>
                <w:bCs w:val="0"/>
                <w:i w:val="0"/>
                <w:iCs w:val="0"/>
                <w:caps w:val="0"/>
                <w:smallCaps w:val="0"/>
                <w:color w:val="111111"/>
                <w:spacing w:val="8"/>
                <w:sz w:val="21"/>
                <w:szCs w:val="21"/>
              </w:rPr>
              <w:t>2013[https://doi.org/10.1038/cddis.2013.242]).</w:t>
            </w:r>
            <w:r>
              <w:rPr>
                <w:rStyle w:val="any"/>
                <w:rFonts w:ascii="PMingLiU" w:eastAsia="PMingLiU" w:hAnsi="PMingLiU" w:cs="PMingLiU"/>
                <w:b w:val="0"/>
                <w:bCs w:val="0"/>
                <w:i w:val="0"/>
                <w:iCs w:val="0"/>
                <w:caps w:val="0"/>
                <w:smallCaps w:val="0"/>
                <w:color w:val="111111"/>
                <w:spacing w:val="8"/>
                <w:sz w:val="21"/>
                <w:szCs w:val="21"/>
              </w:rPr>
              <w:t>出版商的进一步调查发现，图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5E</w:t>
            </w:r>
            <w:r>
              <w:rPr>
                <w:rStyle w:val="any"/>
                <w:rFonts w:ascii="PMingLiU" w:eastAsia="PMingLiU" w:hAnsi="PMingLiU" w:cs="PMingLiU"/>
                <w:b w:val="0"/>
                <w:bCs w:val="0"/>
                <w:i w:val="0"/>
                <w:iCs w:val="0"/>
                <w:caps w:val="0"/>
                <w:smallCaps w:val="0"/>
                <w:color w:val="111111"/>
                <w:spacing w:val="8"/>
                <w:sz w:val="21"/>
                <w:szCs w:val="21"/>
              </w:rPr>
              <w:t>之间存在重复、操纵和调整蛋白质印迹图像大小的证据；图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之间的</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肌动蛋白带重复；在图</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中插入一个带子。作者回应了出版商的询问，并表示图像复制是由于在图形准备和标记原始数据时出错造成的。然而，双方同意，提交人提供的解释和数据没有适当解决所提出的关切。撤回是因为图像复制和操纵的证据从根本上损害了本文报告的数据和结论的可靠性。作者没有回应我们关于撤回的通知。</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5582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83478" name=""/>
                          <pic:cNvPicPr>
                            <a:picLocks noChangeAspect="1"/>
                          </pic:cNvPicPr>
                        </pic:nvPicPr>
                        <pic:blipFill>
                          <a:blip xmlns:r="http://schemas.openxmlformats.org/officeDocument/2006/relationships" r:embed="rId7"/>
                          <a:stretch>
                            <a:fillRect/>
                          </a:stretch>
                        </pic:blipFill>
                        <pic:spPr>
                          <a:xfrm>
                            <a:off x="0" y="0"/>
                            <a:ext cx="3651980" cy="15582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27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07437" name=""/>
                          <pic:cNvPicPr>
                            <a:picLocks noChangeAspect="1"/>
                          </pic:cNvPicPr>
                        </pic:nvPicPr>
                        <pic:blipFill>
                          <a:blip xmlns:r="http://schemas.openxmlformats.org/officeDocument/2006/relationships" r:embed="rId8"/>
                          <a:stretch>
                            <a:fillRect/>
                          </a:stretch>
                        </pic:blipFill>
                        <pic:spPr>
                          <a:xfrm>
                            <a:off x="0" y="0"/>
                            <a:ext cx="3654457" cy="14827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0275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15309"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60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36&amp;idx=1&amp;sn=76a31978dd44bbc72d962f01c1530c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