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四川大学华西医院康复医学院副院长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Yun Qu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、上海交通大学附属瑞金医院康复医学科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Pu Wang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的论文被指图像重复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白大褂宣言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17:47:00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1389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点击蓝字</w:t>
      </w:r>
      <w:r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关注我们</w:t>
      </w:r>
    </w:p>
    <w:p>
      <w:pPr>
        <w:spacing w:before="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1188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2017年7月13日，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四川大学华西医院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康复医学院副院长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Yun Qu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（屈云）、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上海交通大学附属瑞金医院康复医学科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Pu Wang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（王朴）团队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Metabolic Brain Disease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Non-invasive remote ischemic postconditioning stimulates neurogenesis during the recovery phase after cerebral ischemia”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的文章。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8879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0262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5843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6409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5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414121"/>
            <wp:docPr id="100005" name="" descr="四川大学华西医院PET-CT中心-怎么样-地址-电话-医生在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6379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经核查比对，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文章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部分实验图像存在以下重复现象：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出现部分重叠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sz w:val="21"/>
          <w:szCs w:val="21"/>
          <w:u w:val="none"/>
        </w:rPr>
        <w:drawing>
          <wp:inline>
            <wp:extent cx="5486400" cy="416772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5258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881D1"/>
          <w:spacing w:val="8"/>
          <w:sz w:val="23"/>
          <w:szCs w:val="23"/>
        </w:rPr>
        <w:t>参考信息：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881D1"/>
          <w:spacing w:val="8"/>
          <w:sz w:val="23"/>
          <w:szCs w:val="23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https://pubmed.ncbi.nlm.nih.gov/28707040/</w:t>
      </w:r>
    </w:p>
    <w:p>
      <w:pPr>
        <w:widowControl/>
        <w:shd w:val="clear" w:color="auto" w:fill="FFFFFF"/>
        <w:spacing w:before="0" w:after="360" w:line="255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https://pubpeer.com/publications/5D44C6DDB999D2997725DAE5FAA1B3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DkwMTQzNw==&amp;mid=2247484569&amp;idx=1&amp;sn=a522066333cb559a90432745bb3dbca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