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除了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误用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还会别的解释吗？中国疾病预防控制中心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TangJing/WangDayan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团队论文被关注，背后有国家重点研发基金支持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25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10.1038/s41598-021-95771-4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00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6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[2020ZX10001-016]</w:t>
      </w:r>
      <w:r>
        <w:rPr>
          <w:rStyle w:val="any"/>
          <w:rFonts w:ascii="PMingLiU" w:eastAsia="PMingLiU" w:hAnsi="PMingLiU" w:cs="PMingLiU"/>
          <w:spacing w:val="8"/>
        </w:rPr>
        <w:t>；国家重点研发计划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[2016YFD0500208]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56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19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作者给出通用解释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误用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，并表示真诚的道歉。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04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75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然后，本论文上月被本账号报道后，团队作者多次向平台投诉，多次被平台驳回。本账号所发内容均转述于权威学术平台，论文本就是公开性学术成果，作者论文如果没有问题，大可不必担心被人讨论。如果该论文团队不将精花在研究学术上，而且是不断妄图投诉删贴掩盖事实。本帐号将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进行全网全渠道多平台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多帐号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持续专题报道，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以正视听，肃清学风，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维护学术健康环境。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https://pubpeer.com/publications/59253A9F1B9E4F2639F1E06ED0EDB1#1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https://www.nature.com/articles/s41598-021-95771-4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1&amp;sn=dd7dfbc9669ed94bc8742ce0c2e96f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