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大筛查发现：安徽中医药大学原校长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Daiyin Peng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（音译：彭代银）团队论文疑似有图像重复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23:44:29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644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Regulative effect of Taohong Siwu decoction on extracellular matrix of endometrium in drug-induced abortion</w:t>
      </w:r>
      <w:r>
        <w:rPr>
          <w:rStyle w:val="any"/>
          <w:rFonts w:ascii="PMingLiU" w:eastAsia="PMingLiU" w:hAnsi="PMingLiU" w:cs="PMingLiU"/>
          <w:spacing w:val="8"/>
        </w:rPr>
        <w:t>（桃红四物汤对药物流产子宫内膜细胞外基质的调节作用）的论文在《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Traditional Chinese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10.19852/J.CNKI.JTCM.2021.01.012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处明显重复。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24350" cy="436245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844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目的：探索</w:t>
      </w:r>
      <w:r>
        <w:rPr>
          <w:rStyle w:val="any"/>
          <w:rFonts w:ascii="Times New Roman" w:eastAsia="Times New Roman" w:hAnsi="Times New Roman" w:cs="Times New Roman"/>
          <w:spacing w:val="8"/>
        </w:rPr>
        <w:t>Taohong Siwu</w:t>
      </w:r>
      <w:r>
        <w:rPr>
          <w:rStyle w:val="any"/>
          <w:rFonts w:ascii="PMingLiU" w:eastAsia="PMingLiU" w:hAnsi="PMingLiU" w:cs="PMingLiU"/>
          <w:spacing w:val="8"/>
        </w:rPr>
        <w:t>汤（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）对药物诱导流产后大鼠子宫内膜细胞外基质的影响。方法：将三十六个怀孕的雌性大鼠施用米非司酮和米索前列醇诱导流产，并记录子宫出血的数量。病理损伤和胶原蛋白的积累分别通过子宫中的苏木精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欧生染色和</w:t>
      </w:r>
      <w:r>
        <w:rPr>
          <w:rStyle w:val="any"/>
          <w:rFonts w:ascii="Times New Roman" w:eastAsia="Times New Roman" w:hAnsi="Times New Roman" w:cs="Times New Roman"/>
          <w:spacing w:val="8"/>
        </w:rPr>
        <w:t>Masson</w:t>
      </w:r>
      <w:r>
        <w:rPr>
          <w:rStyle w:val="any"/>
          <w:rFonts w:ascii="PMingLiU" w:eastAsia="PMingLiU" w:hAnsi="PMingLiU" w:cs="PMingLiU"/>
          <w:spacing w:val="8"/>
        </w:rPr>
        <w:t>的三色染色检测。通过免疫组织化学评估骨髓过氧化物酶。纤连蛋白，层粘连蛋白，基质金属蛋白酶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）的表达水平和金属蛋白酶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）的组织抑制剂的表达水平被使用蛋白质印迹进行了定量。结果：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可以在药物诱导的流产后促进大鼠的子宫内膜保护。在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治疗组的子宫组织中，纤维素和骨髓氧化酶的含量显著降低。此外，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显著降低了纤连蛋白，层粘连蛋白和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的表达水平。</w:t>
      </w:r>
      <w:r>
        <w:rPr>
          <w:rStyle w:val="any"/>
          <w:rFonts w:ascii="Times New Roman" w:eastAsia="Times New Roman" w:hAnsi="Times New Roman" w:cs="Times New Roman"/>
          <w:spacing w:val="8"/>
        </w:rPr>
        <w:t>THSW</w:t>
      </w:r>
      <w:r>
        <w:rPr>
          <w:rStyle w:val="any"/>
          <w:rFonts w:ascii="PMingLiU" w:eastAsia="PMingLiU" w:hAnsi="PMingLiU" w:cs="PMingLiU"/>
          <w:spacing w:val="8"/>
        </w:rPr>
        <w:t>还显著增加了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表达和</w:t>
      </w:r>
      <w:r>
        <w:rPr>
          <w:rStyle w:val="any"/>
          <w:rFonts w:ascii="Times New Roman" w:eastAsia="Times New Roman" w:hAnsi="Times New Roman" w:cs="Times New Roman"/>
          <w:spacing w:val="8"/>
        </w:rPr>
        <w:t>MMP-9/TIMP-1</w:t>
      </w:r>
      <w:r>
        <w:rPr>
          <w:rStyle w:val="any"/>
          <w:rFonts w:ascii="PMingLiU" w:eastAsia="PMingLiU" w:hAnsi="PMingLiU" w:cs="PMingLiU"/>
          <w:spacing w:val="8"/>
        </w:rPr>
        <w:t>比率。结论：通过减少细胞外基质沉积和子宫纤维化，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在子宫内膜保护中起关键作用。这些影响可能是通过增加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，减少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或改变</w:t>
      </w:r>
      <w:r>
        <w:rPr>
          <w:rStyle w:val="any"/>
          <w:rFonts w:ascii="Times New Roman" w:eastAsia="Times New Roman" w:hAnsi="Times New Roman" w:cs="Times New Roman"/>
          <w:spacing w:val="8"/>
        </w:rPr>
        <w:t>MMP-9/TIMP-1</w:t>
      </w:r>
      <w:r>
        <w:rPr>
          <w:rStyle w:val="any"/>
          <w:rFonts w:ascii="PMingLiU" w:eastAsia="PMingLiU" w:hAnsi="PMingLiU" w:cs="PMingLiU"/>
          <w:spacing w:val="8"/>
        </w:rPr>
        <w:t>的比例来实现的。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797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77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[81473387,81503291]</w:t>
      </w:r>
      <w:r>
        <w:rPr>
          <w:rStyle w:val="any"/>
          <w:rFonts w:ascii="PMingLiU" w:eastAsia="PMingLiU" w:hAnsi="PMingLiU" w:cs="PMingLiU"/>
          <w:spacing w:val="8"/>
        </w:rPr>
        <w:t>；安徽省高等学校自然科学基金项目</w:t>
      </w:r>
      <w:r>
        <w:rPr>
          <w:rStyle w:val="any"/>
          <w:rFonts w:ascii="Times New Roman" w:eastAsia="Times New Roman" w:hAnsi="Times New Roman" w:cs="Times New Roman"/>
          <w:spacing w:val="8"/>
        </w:rPr>
        <w:t>[KJ2019A0467]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Daiyin Peng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彭代银），疑为</w:t>
      </w:r>
      <w:r>
        <w:rPr>
          <w:rStyle w:val="any"/>
          <w:rFonts w:ascii="PMingLiU" w:eastAsia="PMingLiU" w:hAnsi="PMingLiU" w:cs="PMingLiU"/>
          <w:spacing w:val="8"/>
        </w:rPr>
        <w:t>安徽中医药大学原校长，教授，博士生导师。安徽省中药学重大学科带头人，国家中医药管理局药用植物学重点学科带头人，安徽省教育系统劳动模范，安徽省人民政府津贴获得者，安徽省</w:t>
      </w:r>
      <w:r>
        <w:rPr>
          <w:rStyle w:val="any"/>
          <w:rFonts w:ascii="Times New Roman" w:eastAsia="Times New Roman" w:hAnsi="Times New Roman" w:cs="Times New Roman"/>
          <w:spacing w:val="8"/>
        </w:rPr>
        <w:t>“115”</w:t>
      </w:r>
      <w:r>
        <w:rPr>
          <w:rStyle w:val="any"/>
          <w:rFonts w:ascii="PMingLiU" w:eastAsia="PMingLiU" w:hAnsi="PMingLiU" w:cs="PMingLiU"/>
          <w:spacing w:val="8"/>
        </w:rPr>
        <w:t>现代中药研发产业创新团队带头人，安徽省学术与技术带头人，合肥市专业技术拔尖人才。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https://pubmed.ncbi.nlm.nih.gov/33522202/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09&amp;idx=6&amp;sn=f2a89e9c7eda578946c2625c28c7ed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