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图像高度相似及与另几篇论文中的图表重叠！四川省医学科学院论文被质疑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Annals of Translational Medicine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miR-328-3p overexpression attenuates the malignant proliferation and invasion of liver cancer via targeting Endoplasmic Reticulum Metallo Protease 1 to inhibit AKT phosphorylation</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miR-328-3p过表达通过靶向内质网金属蛋白酶1抑制AKT磷酸化抑制肝癌恶性增殖和侵袭</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4"/>
          <w:szCs w:val="24"/>
        </w:rPr>
        <w:t>doi: 10.21037/atm-20-3749</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四川省医学科学院四川省人民医院麻醉手术中心；四川省医学科学院四川省人民医院疼痛科；四川省医学科学院四川省人民医院老年病科；中国成都四川省医学科学院四川省人民医院器官移植中心；四川省医学科学院四川省人民医院肝胆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Hua Lu , Jiali Hu , Jianping Li , Weifeng Lu , Xiaofan Deng , Xu Wang</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rPr>
        <w:t>通讯作者:</w:t>
      </w:r>
      <w:r>
        <w:rPr>
          <w:rStyle w:val="any"/>
          <w:rFonts w:ascii="Microsoft YaHei UI" w:eastAsia="Microsoft YaHei UI" w:hAnsi="Microsoft YaHei UI" w:cs="Microsoft YaHei UI"/>
          <w:b/>
          <w:bCs/>
          <w:i w:val="0"/>
          <w:iCs w:val="0"/>
          <w:caps w:val="0"/>
          <w:smallCaps w:val="0"/>
          <w:color w:val="000000"/>
          <w:spacing w:val="0"/>
          <w:shd w:val="clear" w:color="auto" w:fill="FFFFFF"/>
        </w:rPr>
        <w:t>Jianping Li</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(四川省医学科学院四川省人民医院老年病科)</w:t>
      </w:r>
      <w:r>
        <w:rPr>
          <w:rStyle w:val="any"/>
          <w:rFonts w:ascii="Microsoft YaHei UI" w:eastAsia="Microsoft YaHei UI" w:hAnsi="Microsoft YaHei UI" w:cs="Microsoft YaHei UI"/>
          <w:b/>
          <w:bCs/>
          <w:i w:val="0"/>
          <w:iCs w:val="0"/>
          <w:caps w:val="0"/>
          <w:smallCaps w:val="0"/>
          <w:color w:val="000000"/>
          <w:spacing w:val="0"/>
          <w:shd w:val="clear" w:color="auto" w:fill="FFFFFF"/>
        </w:rPr>
        <w:t> , Weifeng Lu</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(四川省医学科学院四川省人民医院麻醉手术中心)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66371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86408" name=""/>
                    <pic:cNvPicPr>
                      <a:picLocks noChangeAspect="1"/>
                    </pic:cNvPicPr>
                  </pic:nvPicPr>
                  <pic:blipFill>
                    <a:blip xmlns:r="http://schemas.openxmlformats.org/officeDocument/2006/relationships" r:embed="rId6"/>
                    <a:stretch>
                      <a:fillRect/>
                    </a:stretch>
                  </pic:blipFill>
                  <pic:spPr>
                    <a:xfrm>
                      <a:off x="0" y="0"/>
                      <a:ext cx="5268658" cy="663711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162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6E 摘自“Wogonoside 通过降低上皮-间质转化/侵袭和癌症干细胞样细胞特性来减弱皮肤鳞状细胞癌”（</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等人，2020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5D</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492699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45230" name=""/>
                    <pic:cNvPicPr>
                      <a:picLocks noChangeAspect="1"/>
                    </pic:cNvPicPr>
                  </pic:nvPicPr>
                  <pic:blipFill>
                    <a:blip xmlns:r="http://schemas.openxmlformats.org/officeDocument/2006/relationships" r:embed="rId8"/>
                    <a:stretch>
                      <a:fillRect/>
                    </a:stretch>
                  </pic:blipFill>
                  <pic:spPr>
                    <a:xfrm>
                      <a:off x="0" y="0"/>
                      <a:ext cx="5273135" cy="4926997"/>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2879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再次参见图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6798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4307" name=""/>
                    <pic:cNvPicPr>
                      <a:picLocks noChangeAspect="1"/>
                    </pic:cNvPicPr>
                  </pic:nvPicPr>
                  <pic:blipFill>
                    <a:blip xmlns:r="http://schemas.openxmlformats.org/officeDocument/2006/relationships" r:embed="rId9"/>
                    <a:stretch>
                      <a:fillRect/>
                    </a:stretch>
                  </pic:blipFill>
                  <pic:spPr>
                    <a:xfrm>
                      <a:off x="0" y="0"/>
                      <a:ext cx="5273802" cy="367988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7615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5e 来自“积雪草苷通过 miR-635/HMGA1 轴抑制胃癌进展并诱导内质网应激”（</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Zhang 等人 2022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30893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75217" name=""/>
                    <pic:cNvPicPr>
                      <a:picLocks noChangeAspect="1"/>
                    </pic:cNvPicPr>
                  </pic:nvPicPr>
                  <pic:blipFill>
                    <a:blip xmlns:r="http://schemas.openxmlformats.org/officeDocument/2006/relationships" r:embed="rId10"/>
                    <a:stretch>
                      <a:fillRect/>
                    </a:stretch>
                  </pic:blipFill>
                  <pic:spPr>
                    <a:xfrm>
                      <a:off x="0" y="0"/>
                      <a:ext cx="5270564" cy="308933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5199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 来自“miR-4731-5p 通过靶向非小细胞肺癌中的 RPLP0 增强细胞凋亡并减轻上皮间质转化”（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Chang &amp; Xu 2022</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0783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42250" name=""/>
                    <pic:cNvPicPr>
                      <a:picLocks noChangeAspect="1"/>
                    </pic:cNvPicPr>
                  </pic:nvPicPr>
                  <pic:blipFill>
                    <a:blip xmlns:r="http://schemas.openxmlformats.org/officeDocument/2006/relationships" r:embed="rId11"/>
                    <a:stretch>
                      <a:fillRect/>
                    </a:stretch>
                  </pic:blipFill>
                  <pic:spPr>
                    <a:xfrm>
                      <a:off x="0" y="0"/>
                      <a:ext cx="5269992" cy="207835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526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2B 摘自“布比卡因通过抑制 ERK1/2 和 STAT3 的活化来抑制口腔鳞状细胞癌细胞的恶性生物学行为”(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et al 2021</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strike w:val="0"/>
          <w:color w:val="0D0D0D"/>
          <w:spacing w:val="8"/>
          <w:u w:val="none"/>
        </w:rPr>
        <w:drawing>
          <wp:inline>
            <wp:extent cx="5269992" cy="337251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72691" name=""/>
                    <pic:cNvPicPr>
                      <a:picLocks noChangeAspect="1"/>
                    </pic:cNvPicPr>
                  </pic:nvPicPr>
                  <pic:blipFill>
                    <a:blip xmlns:r="http://schemas.openxmlformats.org/officeDocument/2006/relationships" r:embed="rId12"/>
                    <a:stretch>
                      <a:fillRect/>
                    </a:stretch>
                  </pic:blipFill>
                  <pic:spPr>
                    <a:xfrm>
                      <a:off x="0" y="0"/>
                      <a:ext cx="5269992" cy="3372517"/>
                    </a:xfrm>
                    <a:prstGeom prst="rect">
                      <a:avLst/>
                    </a:prstGeom>
                  </pic:spPr>
                </pic:pic>
              </a:graphicData>
            </a:graphic>
          </wp:inline>
        </w:drawing>
      </w:r>
      <w:r>
        <w:rPr>
          <w:rStyle w:val="any"/>
          <w:rFonts w:ascii="Symbol" w:eastAsia="Symbol" w:hAnsi="Symbol" w:cs="Symbol"/>
          <w:b w:val="0"/>
          <w:bCs w:val="0"/>
          <w:caps w:val="0"/>
          <w:smallCaps w:val="0"/>
          <w:strike w:val="0"/>
          <w:color w:val="0D0D0D"/>
          <w:spacing w:val="8"/>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7644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873328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84552" name=""/>
                    <pic:cNvPicPr>
                      <a:picLocks noChangeAspect="1"/>
                    </pic:cNvPicPr>
                  </pic:nvPicPr>
                  <pic:blipFill>
                    <a:blip xmlns:r="http://schemas.openxmlformats.org/officeDocument/2006/relationships" r:embed="rId13"/>
                    <a:stretch>
                      <a:fillRect/>
                    </a:stretch>
                  </pic:blipFill>
                  <pic:spPr>
                    <a:xfrm>
                      <a:off x="0" y="0"/>
                      <a:ext cx="5270564" cy="87332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237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https://pubmed.ncbi.nlm.nih.gov/35117516/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https://pubmed.ncbi.nlm.nih.gov/30774370/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https://pubmed.ncbi.nlm.nih.gov/32547080/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4：</w:t>
      </w:r>
      <w:r>
        <w:rPr>
          <w:rStyle w:val="any"/>
          <w:rFonts w:ascii="Microsoft YaHei UI" w:eastAsia="Microsoft YaHei UI" w:hAnsi="Microsoft YaHei UI" w:cs="Microsoft YaHei UI"/>
          <w:b w:val="0"/>
          <w:bCs w:val="0"/>
          <w:i w:val="0"/>
          <w:iCs w:val="0"/>
          <w:caps w:val="0"/>
          <w:smallCaps w:val="0"/>
          <w:color w:val="0D0D0D"/>
          <w:spacing w:val="0"/>
        </w:rPr>
        <w:t>https://pubmed.ncbi.nlm.nih.gov/32647679/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5：</w:t>
      </w:r>
      <w:r>
        <w:rPr>
          <w:rStyle w:val="any"/>
          <w:rFonts w:ascii="Microsoft YaHei UI" w:eastAsia="Microsoft YaHei UI" w:hAnsi="Microsoft YaHei UI" w:cs="Microsoft YaHei UI"/>
          <w:b w:val="0"/>
          <w:bCs w:val="0"/>
          <w:i w:val="0"/>
          <w:iCs w:val="0"/>
          <w:caps w:val="0"/>
          <w:smallCaps w:val="0"/>
          <w:color w:val="0D0D0D"/>
          <w:spacing w:val="0"/>
        </w:rPr>
        <w:t>https://pubmed.ncbi.nlm.nih.gov/35117926/</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6：</w:t>
      </w:r>
      <w:r>
        <w:rPr>
          <w:rStyle w:val="any"/>
          <w:rFonts w:ascii="Microsoft YaHei UI" w:eastAsia="Microsoft YaHei UI" w:hAnsi="Microsoft YaHei UI" w:cs="Microsoft YaHei UI"/>
          <w:b w:val="0"/>
          <w:bCs w:val="0"/>
          <w:i w:val="0"/>
          <w:iCs w:val="0"/>
          <w:caps w:val="0"/>
          <w:smallCaps w:val="0"/>
          <w:color w:val="0D0D0D"/>
          <w:spacing w:val="0"/>
        </w:rPr>
        <w:t>https://pubmed.ncbi.nlm.nih.gov/30747211/</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7：</w:t>
      </w:r>
      <w:r>
        <w:rPr>
          <w:rStyle w:val="any"/>
          <w:rFonts w:ascii="Microsoft YaHei UI" w:eastAsia="Microsoft YaHei UI" w:hAnsi="Microsoft YaHei UI" w:cs="Microsoft YaHei UI"/>
          <w:b w:val="0"/>
          <w:bCs w:val="0"/>
          <w:i w:val="0"/>
          <w:iCs w:val="0"/>
          <w:caps w:val="0"/>
          <w:smallCaps w:val="0"/>
          <w:color w:val="0D0D0D"/>
          <w:spacing w:val="0"/>
        </w:rPr>
        <w:t>https://pubmed.ncbi.nlm.nih.gov/33313196/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https://pmc.ncbi.nlm.nih.gov/articles/PMC7333113/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https://pubpeer.com/publications/1B9A1AA1D1ED87A173F45BA6D7F519#0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4&amp;sn=7e8a34e22af961a5cf19f6f6a37b25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