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张</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条带图涉嫌重复使用！浙江大学医学院附属邵逸夫医院受国自然资助的研究遭读者公开质疑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2025-04-29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34269"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9</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浙江大学医学院附属邵逸夫医院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Oncotarget</w:t>
      </w:r>
      <w:r>
        <w:rPr>
          <w:rStyle w:val="any"/>
          <w:rFonts w:ascii="PMingLiU" w:eastAsia="PMingLiU" w:hAnsi="PMingLiU" w:cs="PMingLiU"/>
          <w:b w:val="0"/>
          <w:bCs w:val="0"/>
          <w:i/>
          <w:iCs/>
          <w:color w:val="DE4B17"/>
          <w:spacing w:val="8"/>
        </w:rPr>
        <w:t>期刊</w:t>
      </w:r>
      <w:r>
        <w:rPr>
          <w:rStyle w:val="any"/>
          <w:rFonts w:ascii="PMingLiU" w:eastAsia="PMingLiU" w:hAnsi="PMingLiU" w:cs="PMingLiU"/>
          <w:b w:val="0"/>
          <w:bCs w:val="0"/>
          <w:i w:val="0"/>
          <w:iCs w:val="0"/>
          <w:color w:val="000000"/>
          <w:spacing w:val="8"/>
        </w:rPr>
        <w:t>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9</w:t>
      </w:r>
      <w:r>
        <w:rPr>
          <w:rStyle w:val="any"/>
          <w:rFonts w:ascii="PMingLiU" w:eastAsia="PMingLiU" w:hAnsi="PMingLiU" w:cs="PMingLiU"/>
          <w:b/>
          <w:bCs/>
          <w:i w:val="0"/>
          <w:iCs w:val="0"/>
          <w:color w:val="DE4B17"/>
          <w:spacing w:val="8"/>
        </w:rPr>
        <w:t>年半年</w:t>
      </w:r>
      <w:r>
        <w:rPr>
          <w:rStyle w:val="any"/>
          <w:rFonts w:ascii="PMingLiU" w:eastAsia="PMingLiU" w:hAnsi="PMingLiU" w:cs="PMingLiU"/>
          <w:b w:val="0"/>
          <w:bCs w:val="0"/>
          <w:i w:val="0"/>
          <w:iCs w:val="0"/>
          <w:color w:val="000000"/>
          <w:spacing w:val="8"/>
        </w:rPr>
        <w:t>后，因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10287000" cy="6696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88928" name=""/>
                    <pic:cNvPicPr>
                      <a:picLocks noChangeAspect="1"/>
                    </pic:cNvPicPr>
                  </pic:nvPicPr>
                  <pic:blipFill>
                    <a:blip xmlns:r="http://schemas.openxmlformats.org/officeDocument/2006/relationships" r:embed="rId7"/>
                    <a:stretch>
                      <a:fillRect/>
                    </a:stretch>
                  </pic:blipFill>
                  <pic:spPr>
                    <a:xfrm>
                      <a:off x="0" y="0"/>
                      <a:ext cx="10287000" cy="6696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5655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“Crizotinib induces autophagy through inhibition of the STAT3 pathway in multiple lung cancer cell lines”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克唑替尼通过抑制多种肺癌细胞系的</w:t>
      </w:r>
      <w:r>
        <w:rPr>
          <w:rStyle w:val="any"/>
          <w:rFonts w:ascii="Times New Roman" w:eastAsia="Times New Roman" w:hAnsi="Times New Roman" w:cs="Times New Roman"/>
          <w:b w:val="0"/>
          <w:bCs w:val="0"/>
          <w:i w:val="0"/>
          <w:iCs w:val="0"/>
          <w:color w:val="000000"/>
          <w:spacing w:val="8"/>
        </w:rPr>
        <w:t>STAT3</w:t>
      </w:r>
      <w:r>
        <w:rPr>
          <w:rStyle w:val="any"/>
          <w:rFonts w:ascii="PMingLiU" w:eastAsia="PMingLiU" w:hAnsi="PMingLiU" w:cs="PMingLiU"/>
          <w:b w:val="0"/>
          <w:bCs w:val="0"/>
          <w:i w:val="0"/>
          <w:iCs w:val="0"/>
          <w:color w:val="000000"/>
          <w:spacing w:val="8"/>
        </w:rPr>
        <w:t>通路诱导自噬）</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第一作者：浙江大学医学院附属邵逸夫医院的</w:t>
      </w:r>
      <w:r>
        <w:rPr>
          <w:rStyle w:val="any"/>
          <w:rFonts w:ascii="Times New Roman" w:eastAsia="Times New Roman" w:hAnsi="Times New Roman" w:cs="Times New Roman"/>
          <w:b w:val="0"/>
          <w:bCs w:val="0"/>
          <w:i w:val="0"/>
          <w:iCs w:val="0"/>
          <w:color w:val="000000"/>
          <w:spacing w:val="8"/>
        </w:rPr>
        <w:t>Liangkun You</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Jiawei Shou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通讯作者：浙江大学医学院附属邵逸夫医院的</w:t>
      </w:r>
      <w:r>
        <w:rPr>
          <w:rStyle w:val="any"/>
          <w:rFonts w:ascii="Times New Roman" w:eastAsia="Times New Roman" w:hAnsi="Times New Roman" w:cs="Times New Roman"/>
          <w:b w:val="0"/>
          <w:bCs w:val="0"/>
          <w:i w:val="0"/>
          <w:iCs w:val="0"/>
          <w:color w:val="000000"/>
          <w:spacing w:val="8"/>
        </w:rPr>
        <w:t>Hongming Pan</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Wendong Huang</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Weidong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自噬在真核生物中是一种进化保守的生存途径，在化疗或靶向治疗后，癌细胞的自噬水平经常上调。因此，诱导自噬已成为一种耐药机制。在本研究中，我们发现克唑替尼通过抑制</w:t>
      </w:r>
      <w:r>
        <w:rPr>
          <w:rStyle w:val="any"/>
          <w:rFonts w:ascii="Times New Roman" w:eastAsia="Times New Roman" w:hAnsi="Times New Roman" w:cs="Times New Roman"/>
          <w:b w:val="0"/>
          <w:bCs w:val="0"/>
          <w:i w:val="0"/>
          <w:iCs w:val="0"/>
          <w:color w:val="000000"/>
          <w:spacing w:val="8"/>
        </w:rPr>
        <w:t>STAT3</w:t>
      </w:r>
      <w:r>
        <w:rPr>
          <w:rStyle w:val="any"/>
          <w:rFonts w:ascii="PMingLiU" w:eastAsia="PMingLiU" w:hAnsi="PMingLiU" w:cs="PMingLiU"/>
          <w:b w:val="0"/>
          <w:bCs w:val="0"/>
          <w:i w:val="0"/>
          <w:iCs w:val="0"/>
          <w:color w:val="000000"/>
          <w:spacing w:val="8"/>
        </w:rPr>
        <w:t>诱导肺癌细胞高水平自噬。异位表达野生型或组成型激活</w:t>
      </w:r>
      <w:r>
        <w:rPr>
          <w:rStyle w:val="any"/>
          <w:rFonts w:ascii="Times New Roman" w:eastAsia="Times New Roman" w:hAnsi="Times New Roman" w:cs="Times New Roman"/>
          <w:b w:val="0"/>
          <w:bCs w:val="0"/>
          <w:i w:val="0"/>
          <w:iCs w:val="0"/>
          <w:color w:val="000000"/>
          <w:spacing w:val="8"/>
        </w:rPr>
        <w:t>STAT3</w:t>
      </w:r>
      <w:r>
        <w:rPr>
          <w:rStyle w:val="any"/>
          <w:rFonts w:ascii="PMingLiU" w:eastAsia="PMingLiU" w:hAnsi="PMingLiU" w:cs="PMingLiU"/>
          <w:b w:val="0"/>
          <w:bCs w:val="0"/>
          <w:i w:val="0"/>
          <w:iCs w:val="0"/>
          <w:color w:val="000000"/>
          <w:spacing w:val="8"/>
        </w:rPr>
        <w:t>显著抑制克唑替尼对自噬的影响。有趣的是，克唑替尼介导的</w:t>
      </w:r>
      <w:r>
        <w:rPr>
          <w:rStyle w:val="any"/>
          <w:rFonts w:ascii="Times New Roman" w:eastAsia="Times New Roman" w:hAnsi="Times New Roman" w:cs="Times New Roman"/>
          <w:b w:val="0"/>
          <w:bCs w:val="0"/>
          <w:i w:val="0"/>
          <w:iCs w:val="0"/>
          <w:color w:val="000000"/>
          <w:spacing w:val="8"/>
        </w:rPr>
        <w:t>STAT3</w:t>
      </w:r>
      <w:r>
        <w:rPr>
          <w:rStyle w:val="any"/>
          <w:rFonts w:ascii="PMingLiU" w:eastAsia="PMingLiU" w:hAnsi="PMingLiU" w:cs="PMingLiU"/>
          <w:b w:val="0"/>
          <w:bCs w:val="0"/>
          <w:i w:val="0"/>
          <w:iCs w:val="0"/>
          <w:color w:val="000000"/>
          <w:spacing w:val="8"/>
        </w:rPr>
        <w:t>抑制是循序渐进的。首先抑制细胞质</w:t>
      </w:r>
      <w:r>
        <w:rPr>
          <w:rStyle w:val="any"/>
          <w:rFonts w:ascii="Times New Roman" w:eastAsia="Times New Roman" w:hAnsi="Times New Roman" w:cs="Times New Roman"/>
          <w:b w:val="0"/>
          <w:bCs w:val="0"/>
          <w:i w:val="0"/>
          <w:iCs w:val="0"/>
          <w:color w:val="000000"/>
          <w:spacing w:val="8"/>
        </w:rPr>
        <w:t>STAT3</w:t>
      </w:r>
      <w:r>
        <w:rPr>
          <w:rStyle w:val="any"/>
          <w:rFonts w:ascii="PMingLiU" w:eastAsia="PMingLiU" w:hAnsi="PMingLiU" w:cs="PMingLiU"/>
          <w:b w:val="0"/>
          <w:bCs w:val="0"/>
          <w:i w:val="0"/>
          <w:iCs w:val="0"/>
          <w:color w:val="000000"/>
          <w:spacing w:val="8"/>
        </w:rPr>
        <w:t>导致</w:t>
      </w:r>
      <w:r>
        <w:rPr>
          <w:rStyle w:val="any"/>
          <w:rFonts w:ascii="Times New Roman" w:eastAsia="Times New Roman" w:hAnsi="Times New Roman" w:cs="Times New Roman"/>
          <w:b w:val="0"/>
          <w:bCs w:val="0"/>
          <w:i w:val="0"/>
          <w:iCs w:val="0"/>
          <w:color w:val="000000"/>
          <w:spacing w:val="8"/>
        </w:rPr>
        <w:t>EIF2A</w:t>
      </w:r>
      <w:r>
        <w:rPr>
          <w:rStyle w:val="any"/>
          <w:rFonts w:ascii="PMingLiU" w:eastAsia="PMingLiU" w:hAnsi="PMingLiU" w:cs="PMingLiU"/>
          <w:b w:val="0"/>
          <w:bCs w:val="0"/>
          <w:i w:val="0"/>
          <w:iCs w:val="0"/>
          <w:color w:val="000000"/>
          <w:spacing w:val="8"/>
        </w:rPr>
        <w:t>磷酸化，然后抑制细胞核</w:t>
      </w:r>
      <w:r>
        <w:rPr>
          <w:rStyle w:val="any"/>
          <w:rFonts w:ascii="Times New Roman" w:eastAsia="Times New Roman" w:hAnsi="Times New Roman" w:cs="Times New Roman"/>
          <w:b w:val="0"/>
          <w:bCs w:val="0"/>
          <w:i w:val="0"/>
          <w:iCs w:val="0"/>
          <w:color w:val="000000"/>
          <w:spacing w:val="8"/>
        </w:rPr>
        <w:t>STAT3</w:t>
      </w:r>
      <w:r>
        <w:rPr>
          <w:rStyle w:val="any"/>
          <w:rFonts w:ascii="PMingLiU" w:eastAsia="PMingLiU" w:hAnsi="PMingLiU" w:cs="PMingLiU"/>
          <w:b w:val="0"/>
          <w:bCs w:val="0"/>
          <w:i w:val="0"/>
          <w:iCs w:val="0"/>
          <w:color w:val="000000"/>
          <w:spacing w:val="8"/>
        </w:rPr>
        <w:t>导致</w:t>
      </w:r>
      <w:r>
        <w:rPr>
          <w:rStyle w:val="any"/>
          <w:rFonts w:ascii="Times New Roman" w:eastAsia="Times New Roman" w:hAnsi="Times New Roman" w:cs="Times New Roman"/>
          <w:b w:val="0"/>
          <w:bCs w:val="0"/>
          <w:i w:val="0"/>
          <w:iCs w:val="0"/>
          <w:color w:val="000000"/>
          <w:spacing w:val="8"/>
        </w:rPr>
        <w:t>BCL-2</w:t>
      </w:r>
      <w:r>
        <w:rPr>
          <w:rStyle w:val="any"/>
          <w:rFonts w:ascii="PMingLiU" w:eastAsia="PMingLiU" w:hAnsi="PMingLiU" w:cs="PMingLiU"/>
          <w:b w:val="0"/>
          <w:bCs w:val="0"/>
          <w:i w:val="0"/>
          <w:iCs w:val="0"/>
          <w:color w:val="000000"/>
          <w:spacing w:val="8"/>
        </w:rPr>
        <w:t>下调。经药理抑制剂或</w:t>
      </w:r>
      <w:r>
        <w:rPr>
          <w:rStyle w:val="any"/>
          <w:rFonts w:ascii="Times New Roman" w:eastAsia="Times New Roman" w:hAnsi="Times New Roman" w:cs="Times New Roman"/>
          <w:b w:val="0"/>
          <w:bCs w:val="0"/>
          <w:i w:val="0"/>
          <w:iCs w:val="0"/>
          <w:color w:val="000000"/>
          <w:spacing w:val="8"/>
        </w:rPr>
        <w:t>shrna</w:t>
      </w:r>
      <w:r>
        <w:rPr>
          <w:rStyle w:val="any"/>
          <w:rFonts w:ascii="PMingLiU" w:eastAsia="PMingLiU" w:hAnsi="PMingLiU" w:cs="PMingLiU"/>
          <w:b w:val="0"/>
          <w:bCs w:val="0"/>
          <w:i w:val="0"/>
          <w:iCs w:val="0"/>
          <w:color w:val="000000"/>
          <w:spacing w:val="8"/>
        </w:rPr>
        <w:t>对</w:t>
      </w:r>
      <w:r>
        <w:rPr>
          <w:rStyle w:val="any"/>
          <w:rFonts w:ascii="Times New Roman" w:eastAsia="Times New Roman" w:hAnsi="Times New Roman" w:cs="Times New Roman"/>
          <w:b w:val="0"/>
          <w:bCs w:val="0"/>
          <w:i w:val="0"/>
          <w:iCs w:val="0"/>
          <w:color w:val="000000"/>
          <w:spacing w:val="8"/>
        </w:rPr>
        <w:t>Beclin-1</w:t>
      </w:r>
      <w:r>
        <w:rPr>
          <w:rStyle w:val="any"/>
          <w:rFonts w:ascii="PMingLiU" w:eastAsia="PMingLiU" w:hAnsi="PMingLiU" w:cs="PMingLiU"/>
          <w:b w:val="0"/>
          <w:bCs w:val="0"/>
          <w:i w:val="0"/>
          <w:iCs w:val="0"/>
          <w:color w:val="000000"/>
          <w:spacing w:val="8"/>
        </w:rPr>
        <w:t>的自噬抑制后，克唑替尼诱导的细胞死亡大大增强。此外，自噬抑制剂</w:t>
      </w:r>
      <w:r>
        <w:rPr>
          <w:rStyle w:val="any"/>
          <w:rFonts w:ascii="Times New Roman" w:eastAsia="Times New Roman" w:hAnsi="Times New Roman" w:cs="Times New Roman"/>
          <w:b w:val="0"/>
          <w:bCs w:val="0"/>
          <w:i w:val="0"/>
          <w:iCs w:val="0"/>
          <w:color w:val="000000"/>
          <w:spacing w:val="8"/>
        </w:rPr>
        <w:t>HCQ</w:t>
      </w:r>
      <w:r>
        <w:rPr>
          <w:rStyle w:val="any"/>
          <w:rFonts w:ascii="PMingLiU" w:eastAsia="PMingLiU" w:hAnsi="PMingLiU" w:cs="PMingLiU"/>
          <w:b w:val="0"/>
          <w:bCs w:val="0"/>
          <w:i w:val="0"/>
          <w:iCs w:val="0"/>
          <w:color w:val="000000"/>
          <w:spacing w:val="8"/>
        </w:rPr>
        <w:t>在小鼠异种移植模型中显著增强了克唑替尼的抗肿瘤作用。综上所述，克唑替尼可通过抑制肺癌细胞</w:t>
      </w:r>
      <w:r>
        <w:rPr>
          <w:rStyle w:val="any"/>
          <w:rFonts w:ascii="Times New Roman" w:eastAsia="Times New Roman" w:hAnsi="Times New Roman" w:cs="Times New Roman"/>
          <w:b w:val="0"/>
          <w:bCs w:val="0"/>
          <w:i w:val="0"/>
          <w:iCs w:val="0"/>
          <w:color w:val="000000"/>
          <w:spacing w:val="8"/>
        </w:rPr>
        <w:t>STAT3</w:t>
      </w:r>
      <w:r>
        <w:rPr>
          <w:rStyle w:val="any"/>
          <w:rFonts w:ascii="PMingLiU" w:eastAsia="PMingLiU" w:hAnsi="PMingLiU" w:cs="PMingLiU"/>
          <w:b w:val="0"/>
          <w:bCs w:val="0"/>
          <w:i w:val="0"/>
          <w:iCs w:val="0"/>
          <w:color w:val="000000"/>
          <w:spacing w:val="8"/>
        </w:rPr>
        <w:t>诱导细胞保护性自噬。因此，自噬抑制是提高克里唑替尼治疗靶向肺癌患者疗效的一种有希望的途径。（本段内容为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57092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34678" name=""/>
                    <pic:cNvPicPr>
                      <a:picLocks noChangeAspect="1"/>
                    </pic:cNvPicPr>
                  </pic:nvPicPr>
                  <pic:blipFill>
                    <a:blip xmlns:r="http://schemas.openxmlformats.org/officeDocument/2006/relationships" r:embed="rId9"/>
                    <a:stretch>
                      <a:fillRect/>
                    </a:stretch>
                  </pic:blipFill>
                  <pic:spPr>
                    <a:xfrm>
                      <a:off x="0" y="0"/>
                      <a:ext cx="5486400" cy="15709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3659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本研究共受</w:t>
      </w:r>
      <w:r>
        <w:rPr>
          <w:rStyle w:val="any"/>
          <w:rFonts w:ascii="Times New Roman" w:eastAsia="Times New Roman" w:hAnsi="Times New Roman" w:cs="Times New Roman"/>
          <w:b w:val="0"/>
          <w:bCs w:val="0"/>
          <w:i w:val="0"/>
          <w:iCs w:val="0"/>
          <w:color w:val="000000"/>
          <w:spacing w:val="8"/>
        </w:rPr>
        <w:t>5</w:t>
      </w:r>
      <w:r>
        <w:rPr>
          <w:rStyle w:val="any"/>
          <w:rFonts w:ascii="PMingLiU" w:eastAsia="PMingLiU" w:hAnsi="PMingLiU" w:cs="PMingLiU"/>
          <w:b w:val="0"/>
          <w:bCs w:val="0"/>
          <w:i w:val="0"/>
          <w:iCs w:val="0"/>
          <w:color w:val="000000"/>
          <w:spacing w:val="8"/>
        </w:rPr>
        <w:t>项基金支持：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国家自然科学基金项目（批准号</w:t>
      </w:r>
      <w:r>
        <w:rPr>
          <w:rStyle w:val="any"/>
          <w:rFonts w:ascii="Times New Roman" w:eastAsia="Times New Roman" w:hAnsi="Times New Roman" w:cs="Times New Roman"/>
          <w:b/>
          <w:bCs/>
          <w:i w:val="0"/>
          <w:iCs w:val="0"/>
          <w:color w:val="DE4B17"/>
          <w:spacing w:val="8"/>
        </w:rPr>
        <w:t>81272593</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浙江省医药卫生平台项目（批准号</w:t>
      </w:r>
      <w:r>
        <w:rPr>
          <w:rStyle w:val="any"/>
          <w:rFonts w:ascii="Times New Roman" w:eastAsia="Times New Roman" w:hAnsi="Times New Roman" w:cs="Times New Roman"/>
          <w:b/>
          <w:bCs/>
          <w:i w:val="0"/>
          <w:iCs w:val="0"/>
          <w:color w:val="DE4B17"/>
          <w:spacing w:val="8"/>
        </w:rPr>
        <w:t>2014ZDA012</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国家自然科学基金项目（批准号</w:t>
      </w:r>
      <w:r>
        <w:rPr>
          <w:rStyle w:val="any"/>
          <w:rFonts w:ascii="Times New Roman" w:eastAsia="Times New Roman" w:hAnsi="Times New Roman" w:cs="Times New Roman"/>
          <w:b/>
          <w:bCs/>
          <w:i w:val="0"/>
          <w:iCs w:val="0"/>
          <w:color w:val="DE4B17"/>
          <w:spacing w:val="8"/>
        </w:rPr>
        <w:t>81372621</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国家自然科学基金项目（批准号</w:t>
      </w:r>
      <w:r>
        <w:rPr>
          <w:rStyle w:val="any"/>
          <w:rFonts w:ascii="Times New Roman" w:eastAsia="Times New Roman" w:hAnsi="Times New Roman" w:cs="Times New Roman"/>
          <w:b/>
          <w:bCs/>
          <w:i w:val="0"/>
          <w:iCs w:val="0"/>
          <w:color w:val="DE4B17"/>
          <w:spacing w:val="8"/>
        </w:rPr>
        <w:t>81328016</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浙江省自然科学基金项目（批准号</w:t>
      </w:r>
      <w:r>
        <w:rPr>
          <w:rStyle w:val="any"/>
          <w:rFonts w:ascii="Times New Roman" w:eastAsia="Times New Roman" w:hAnsi="Times New Roman" w:cs="Times New Roman"/>
          <w:b/>
          <w:bCs/>
          <w:i w:val="0"/>
          <w:iCs w:val="0"/>
          <w:color w:val="DE4B17"/>
          <w:spacing w:val="8"/>
        </w:rPr>
        <w:t>LY12H16022</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0224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Erysiphe euonymicola</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3A</w:t>
      </w:r>
      <w:r>
        <w:rPr>
          <w:rStyle w:val="any"/>
          <w:rFonts w:ascii="PMingLiU" w:eastAsia="PMingLiU" w:hAnsi="PMingLiU" w:cs="PMingLiU"/>
          <w:b w:val="0"/>
          <w:bCs w:val="0"/>
          <w:i w:val="0"/>
          <w:iCs w:val="0"/>
          <w:color w:val="000000"/>
          <w:spacing w:val="8"/>
          <w:sz w:val="26"/>
          <w:szCs w:val="26"/>
        </w:rPr>
        <w:t>中的三个条带图与图</w:t>
      </w:r>
      <w:r>
        <w:rPr>
          <w:rStyle w:val="any"/>
          <w:rFonts w:ascii="Times New Roman" w:eastAsia="Times New Roman" w:hAnsi="Times New Roman" w:cs="Times New Roman"/>
          <w:b w:val="0"/>
          <w:bCs w:val="0"/>
          <w:i w:val="0"/>
          <w:iCs w:val="0"/>
          <w:color w:val="000000"/>
          <w:spacing w:val="8"/>
          <w:sz w:val="26"/>
          <w:szCs w:val="26"/>
        </w:rPr>
        <w:t>4A</w:t>
      </w:r>
      <w:r>
        <w:rPr>
          <w:rStyle w:val="any"/>
          <w:rFonts w:ascii="PMingLiU" w:eastAsia="PMingLiU" w:hAnsi="PMingLiU" w:cs="PMingLiU"/>
          <w:b w:val="0"/>
          <w:bCs w:val="0"/>
          <w:i w:val="0"/>
          <w:iCs w:val="0"/>
          <w:color w:val="000000"/>
          <w:spacing w:val="8"/>
          <w:sz w:val="26"/>
          <w:szCs w:val="26"/>
        </w:rPr>
        <w:t>中的部分条带图相互之间重复。（见同色方框标记）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600575" cy="42291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66165" name=""/>
                    <pic:cNvPicPr>
                      <a:picLocks noChangeAspect="1"/>
                    </pic:cNvPicPr>
                  </pic:nvPicPr>
                  <pic:blipFill>
                    <a:blip xmlns:r="http://schemas.openxmlformats.org/officeDocument/2006/relationships" r:embed="rId10"/>
                    <a:stretch>
                      <a:fillRect/>
                    </a:stretch>
                  </pic:blipFill>
                  <pic:spPr>
                    <a:xfrm>
                      <a:off x="0" y="0"/>
                      <a:ext cx="4600575" cy="4229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3A</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4A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6027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https://pubpeer.com/publications/9D6EAD1EED717C1EEC380BAAEDD4DD/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https://www.oncotarget.com/article/5592/text/</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76968"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8473"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0250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32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234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1070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8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2398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3460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8137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0365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9346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96961" name=""/>
                    <pic:cNvPicPr>
                      <a:picLocks noChangeAspect="1"/>
                    </pic:cNvPicPr>
                  </pic:nvPicPr>
                  <pic:blipFill>
                    <a:blip xmlns:r="http://schemas.openxmlformats.org/officeDocument/2006/relationships" r:embed="rId23"/>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883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77470" name=""/>
                    <pic:cNvPicPr>
                      <a:picLocks noChangeAspect="1"/>
                    </pic:cNvPicPr>
                  </pic:nvPicPr>
                  <pic:blipFill>
                    <a:blip xmlns:r="http://schemas.openxmlformats.org/officeDocument/2006/relationships" r:embed="rId24"/>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709&amp;idx=1&amp;sn=102aa74abe3efea5859a2ab50d9e6a8b&amp;scene=21" TargetMode="External" /><Relationship Id="rId14" Type="http://schemas.openxmlformats.org/officeDocument/2006/relationships/hyperlink" Target="https://mp.weixin.qq.com/s?__biz=Mzg3MzU3MzY4Ng==&amp;mid=2247517544&amp;idx=1&amp;sn=376c36823c1645bc3e22d2aca4b4426f&amp;scene=21" TargetMode="External" /><Relationship Id="rId15" Type="http://schemas.openxmlformats.org/officeDocument/2006/relationships/hyperlink" Target="https://mp.weixin.qq.com/s?__biz=Mzg3MzU3MzY4Ng==&amp;mid=2247517244&amp;idx=1&amp;sn=f42fc5762b918904a7f38badb09ae224&amp;scene=21" TargetMode="External" /><Relationship Id="rId16" Type="http://schemas.openxmlformats.org/officeDocument/2006/relationships/hyperlink" Target="https://mp.weixin.qq.com/s?__biz=Mzg3MzU3MzY4Ng==&amp;mid=2247517079&amp;idx=1&amp;sn=8fa5d30a216c17a832839953f224149c&amp;scene=21" TargetMode="External" /><Relationship Id="rId17" Type="http://schemas.openxmlformats.org/officeDocument/2006/relationships/hyperlink" Target="https://mp.weixin.qq.com/s?__biz=Mzg3MzU3MzY4Ng==&amp;mid=2247517131&amp;idx=1&amp;sn=0fddc90897aedb3f61fd1b0152cf34b5&amp;scene=21" TargetMode="External" /><Relationship Id="rId18" Type="http://schemas.openxmlformats.org/officeDocument/2006/relationships/hyperlink" Target="https://mp.weixin.qq.com/s?__biz=Mzg3MzU3MzY4Ng==&amp;mid=2247517173&amp;idx=1&amp;sn=bd88924f88e69c1225686e6f3d780e81&amp;scene=21" TargetMode="External" /><Relationship Id="rId19" Type="http://schemas.openxmlformats.org/officeDocument/2006/relationships/hyperlink" Target="https://mp.weixin.qq.com/s?__biz=Mzg3MzU3MzY4Ng==&amp;mid=2247517093&amp;idx=1&amp;sn=eed25917df329f444f2c1573b5462fbe&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270&amp;idx=1&amp;sn=707395e761d115c6ea9b61b3943ca026&amp;scene=21" TargetMode="External" /><Relationship Id="rId21" Type="http://schemas.openxmlformats.org/officeDocument/2006/relationships/hyperlink" Target="https://mp.weixin.qq.com/s?__biz=Mzg3MzU3MzY4Ng==&amp;mid=2247517296&amp;idx=1&amp;sn=286f17d20dd234102ddca8218b5006cc&amp;scene=21" TargetMode="External" /><Relationship Id="rId22" Type="http://schemas.openxmlformats.org/officeDocument/2006/relationships/hyperlink" Target="https://mp.weixin.qq.com/s?__biz=Mzg3MzU3MzY4Ng==&amp;mid=2247517365&amp;idx=1&amp;sn=aa7a6d206a207635ba938817778540e4&amp;scene=21" TargetMode="External" /><Relationship Id="rId23" Type="http://schemas.openxmlformats.org/officeDocument/2006/relationships/image" Target="media/image8.png" /><Relationship Id="rId24" Type="http://schemas.openxmlformats.org/officeDocument/2006/relationships/image" Target="media/image9.jpe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370&amp;idx=1&amp;sn=fb0ea27210474315f9fd699f648daf1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