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中山大学中山眼科中心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浙大二院发表的核心研究成果，因涉嫌图像重叠问题遭到学术打假人接连质疑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2025-04-25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2017"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2013</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中山大学中山眼科中心</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中山大学附属眼科医院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浙江大学医学院附属第二医院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Investigative Ophthalmology &amp; Visual Science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IF5.0002/2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发表多年后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8659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21627" name=""/>
                    <pic:cNvPicPr>
                      <a:picLocks noChangeAspect="1"/>
                    </pic:cNvPicPr>
                  </pic:nvPicPr>
                  <pic:blipFill>
                    <a:blip xmlns:r="http://schemas.openxmlformats.org/officeDocument/2006/relationships" r:embed="rId7"/>
                    <a:stretch>
                      <a:fillRect/>
                    </a:stretch>
                  </pic:blipFill>
                  <pic:spPr>
                    <a:xfrm>
                      <a:off x="0" y="0"/>
                      <a:ext cx="5486400" cy="3865979"/>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970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46469" name=""/>
                    <pic:cNvPicPr>
                      <a:picLocks noChangeAspect="1"/>
                    </pic:cNvPicPr>
                  </pic:nvPicPr>
                  <pic:blipFill>
                    <a:blip xmlns:r="http://schemas.openxmlformats.org/officeDocument/2006/relationships" r:embed="rId8"/>
                    <a:stretch>
                      <a:fillRect/>
                    </a:stretch>
                  </pic:blipFill>
                  <pic:spPr>
                    <a:xfrm>
                      <a:off x="0" y="0"/>
                      <a:ext cx="5486400" cy="35970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065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“Functional analyses of TNFR2 in physiological and pathological retina angiogenesis”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TNFR2</w:t>
      </w:r>
      <w:r>
        <w:rPr>
          <w:rStyle w:val="any"/>
          <w:rFonts w:ascii="PMingLiU" w:eastAsia="PMingLiU" w:hAnsi="PMingLiU" w:cs="PMingLiU"/>
          <w:b w:val="0"/>
          <w:bCs w:val="0"/>
          <w:i w:val="0"/>
          <w:iCs w:val="0"/>
          <w:color w:val="000000"/>
          <w:spacing w:val="8"/>
        </w:rPr>
        <w:t>在视网膜生理性和病理性血管生成中的功能分析）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第一作者：浙江大学医学院附属第二医院的</w:t>
      </w:r>
      <w:r>
        <w:rPr>
          <w:rStyle w:val="any"/>
          <w:rFonts w:ascii="Times New Roman" w:eastAsia="Times New Roman" w:hAnsi="Times New Roman" w:cs="Times New Roman"/>
          <w:b w:val="0"/>
          <w:bCs w:val="0"/>
          <w:i w:val="0"/>
          <w:iCs w:val="0"/>
          <w:color w:val="000000"/>
          <w:spacing w:val="8"/>
        </w:rPr>
        <w:t>Ting Wan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通讯作者：中山大学中山眼科中心的</w:t>
      </w:r>
      <w:r>
        <w:rPr>
          <w:rStyle w:val="any"/>
          <w:rFonts w:ascii="Times New Roman" w:eastAsia="Times New Roman" w:hAnsi="Times New Roman" w:cs="Times New Roman"/>
          <w:b w:val="0"/>
          <w:bCs w:val="0"/>
          <w:i w:val="0"/>
          <w:iCs w:val="0"/>
          <w:color w:val="000000"/>
          <w:spacing w:val="8"/>
        </w:rPr>
        <w:t xml:space="preserve">Yonghao Li , </w:t>
      </w:r>
      <w:r>
        <w:rPr>
          <w:rStyle w:val="any"/>
          <w:rFonts w:ascii="PMingLiU" w:eastAsia="PMingLiU" w:hAnsi="PMingLiU" w:cs="PMingLiU"/>
          <w:b w:val="0"/>
          <w:bCs w:val="0"/>
          <w:i w:val="0"/>
          <w:iCs w:val="0"/>
          <w:color w:val="000000"/>
          <w:spacing w:val="8"/>
        </w:rPr>
        <w:t>耶鲁大学医学院的</w:t>
      </w:r>
      <w:r>
        <w:rPr>
          <w:rStyle w:val="any"/>
          <w:rFonts w:ascii="Times New Roman" w:eastAsia="Times New Roman" w:hAnsi="Times New Roman" w:cs="Times New Roman"/>
          <w:b w:val="0"/>
          <w:bCs w:val="0"/>
          <w:i w:val="0"/>
          <w:iCs w:val="0"/>
          <w:color w:val="000000"/>
          <w:spacing w:val="8"/>
        </w:rPr>
        <w:t>Wang Min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该文旨在探讨肿瘤坏死因子受体</w:t>
      </w:r>
      <w:r>
        <w:rPr>
          <w:rStyle w:val="any"/>
          <w:rFonts w:ascii="Times New Roman" w:eastAsia="Times New Roman" w:hAnsi="Times New Roman" w:cs="Times New Roman"/>
          <w:b w:val="0"/>
          <w:bCs w:val="0"/>
          <w:i w:val="0"/>
          <w:iCs w:val="0"/>
          <w:color w:val="000000"/>
          <w:spacing w:val="8"/>
        </w:rPr>
        <w:t xml:space="preserve">-2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）在氧诱导视网膜病变（</w:t>
      </w:r>
      <w:r>
        <w:rPr>
          <w:rStyle w:val="any"/>
          <w:rFonts w:ascii="Times New Roman" w:eastAsia="Times New Roman" w:hAnsi="Times New Roman" w:cs="Times New Roman"/>
          <w:b w:val="0"/>
          <w:bCs w:val="0"/>
          <w:i w:val="0"/>
          <w:iCs w:val="0"/>
          <w:color w:val="000000"/>
          <w:spacing w:val="8"/>
        </w:rPr>
        <w:t>OIR</w:t>
      </w:r>
      <w:r>
        <w:rPr>
          <w:rStyle w:val="any"/>
          <w:rFonts w:ascii="PMingLiU" w:eastAsia="PMingLiU" w:hAnsi="PMingLiU" w:cs="PMingLiU"/>
          <w:b w:val="0"/>
          <w:bCs w:val="0"/>
          <w:i w:val="0"/>
          <w:iCs w:val="0"/>
          <w:color w:val="000000"/>
          <w:spacing w:val="8"/>
        </w:rPr>
        <w:t>）模型中视网膜发育和缺血诱导的血管重建中的功能。结果表明</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在视网膜血管发育过程中起边缘作用。血管</w:t>
      </w:r>
      <w:r>
        <w:rPr>
          <w:rStyle w:val="any"/>
          <w:rFonts w:ascii="Times New Roman" w:eastAsia="Times New Roman" w:hAnsi="Times New Roman" w:cs="Times New Roman"/>
          <w:b w:val="0"/>
          <w:bCs w:val="0"/>
          <w:i w:val="0"/>
          <w:iCs w:val="0"/>
          <w:color w:val="000000"/>
          <w:spacing w:val="8"/>
        </w:rPr>
        <w:t>EC</w:t>
      </w:r>
      <w:r>
        <w:rPr>
          <w:rStyle w:val="any"/>
          <w:rFonts w:ascii="PMingLiU" w:eastAsia="PMingLiU" w:hAnsi="PMingLiU" w:cs="PMingLiU"/>
          <w:b w:val="0"/>
          <w:bCs w:val="0"/>
          <w:i w:val="0"/>
          <w:iCs w:val="0"/>
          <w:color w:val="000000"/>
          <w:spacing w:val="8"/>
        </w:rPr>
        <w:t>中的</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通过抑制细胞凋亡强烈地阻止高氧诱导的血管闭塞，并通过增强低氧诱导的血管重建而不增加病理性新生血管簇来促进视网膜修复。因此，激活</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信号可能是治疗</w:t>
      </w:r>
      <w:r>
        <w:rPr>
          <w:rStyle w:val="any"/>
          <w:rFonts w:ascii="Times New Roman" w:eastAsia="Times New Roman" w:hAnsi="Times New Roman" w:cs="Times New Roman"/>
          <w:b w:val="0"/>
          <w:bCs w:val="0"/>
          <w:i w:val="0"/>
          <w:iCs w:val="0"/>
          <w:color w:val="000000"/>
          <w:spacing w:val="8"/>
        </w:rPr>
        <w:t>OIR</w:t>
      </w:r>
      <w:r>
        <w:rPr>
          <w:rStyle w:val="any"/>
          <w:rFonts w:ascii="PMingLiU" w:eastAsia="PMingLiU" w:hAnsi="PMingLiU" w:cs="PMingLiU"/>
          <w:b w:val="0"/>
          <w:bCs w:val="0"/>
          <w:i w:val="0"/>
          <w:iCs w:val="0"/>
          <w:color w:val="000000"/>
          <w:spacing w:val="8"/>
        </w:rPr>
        <w:t>的理想策略。（本段内容为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44740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81751" name=""/>
                    <pic:cNvPicPr>
                      <a:picLocks noChangeAspect="1"/>
                    </pic:cNvPicPr>
                  </pic:nvPicPr>
                  <pic:blipFill>
                    <a:blip xmlns:r="http://schemas.openxmlformats.org/officeDocument/2006/relationships" r:embed="rId10"/>
                    <a:stretch>
                      <a:fillRect/>
                    </a:stretch>
                  </pic:blipFill>
                  <pic:spPr>
                    <a:xfrm>
                      <a:off x="0" y="0"/>
                      <a:ext cx="5486400" cy="244740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37510"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中本该显示不同小鼠品系的图像之间相似性极高。图像的强度有所不同，但它们显然是来自同一样本。（见同色方框标记）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7893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30158" name=""/>
                    <pic:cNvPicPr>
                      <a:picLocks noChangeAspect="1"/>
                    </pic:cNvPicPr>
                  </pic:nvPicPr>
                  <pic:blipFill>
                    <a:blip xmlns:r="http://schemas.openxmlformats.org/officeDocument/2006/relationships" r:embed="rId11"/>
                    <a:stretch>
                      <a:fillRect/>
                    </a:stretch>
                  </pic:blipFill>
                  <pic:spPr>
                    <a:xfrm>
                      <a:off x="0" y="0"/>
                      <a:ext cx="5486400" cy="27893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4c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质疑二：</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Arthothelium galapagoense</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6H</w:t>
      </w:r>
      <w:r>
        <w:rPr>
          <w:rStyle w:val="any"/>
          <w:rFonts w:ascii="PMingLiU" w:eastAsia="PMingLiU" w:hAnsi="PMingLiU" w:cs="PMingLiU"/>
          <w:b w:val="0"/>
          <w:bCs w:val="0"/>
          <w:i w:val="0"/>
          <w:iCs w:val="0"/>
          <w:color w:val="000000"/>
          <w:spacing w:val="8"/>
          <w:sz w:val="26"/>
          <w:szCs w:val="26"/>
        </w:rPr>
        <w:t>上条带图的两个波段之间出乎意料的相似，尤其是在翻转图像之后。（见同色方框标记）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5448822"/>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51460" name=""/>
                    <pic:cNvPicPr>
                      <a:picLocks noChangeAspect="1"/>
                    </pic:cNvPicPr>
                  </pic:nvPicPr>
                  <pic:blipFill>
                    <a:blip xmlns:r="http://schemas.openxmlformats.org/officeDocument/2006/relationships" r:embed="rId12"/>
                    <a:stretch>
                      <a:fillRect/>
                    </a:stretch>
                  </pic:blipFill>
                  <pic:spPr>
                    <a:xfrm>
                      <a:off x="0" y="0"/>
                      <a:ext cx="5486400" cy="54488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6H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0530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https://pubpeer.com/publications/028912A778A1E1325306EF4BC3C92D/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https://iovs.arvojournals.org/article.aspx?articleid=2188576</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96030"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2930"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8261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3923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796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1422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927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04221"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9757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255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3364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5330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7233"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472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2619"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267&amp;idx=1&amp;sn=bf2292fd869e950c427fff291545724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