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数据管理疏忽引危机！中国医学科学院肿瘤医院副院长刘芝华、北京大学肿瘤医院吴楠团队论文存在重复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23:50:00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46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Dysregulated ceramides metabolism by fatty acid 2-hydroxylase exposes a metabolic vulnerability to target cancer metastasis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中国医学科学院肿瘤医院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Xuantong Zhou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Furong Huang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Zhihua Liu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刘芝华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Gang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北京大学肿瘤医院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Nan Wu(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吴楠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1"/>
          <w:szCs w:val="21"/>
        </w:rPr>
        <w:t>Signal Transduction and Targeted Therapy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42244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48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2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72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transwell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实验结果显示，在不同浓度药物作用下，相邻两张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transwell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图像明显重复使用同一图像的不同位置，这是在不同实验条件下的实验结果。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0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97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S9j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之间有一个重叠区域，这两个图所代表的实验分别表示不同的实验内容。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5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07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4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68" w:lineRule="atLeast"/>
        <w:ind w:left="360" w:right="360" w:firstLine="0"/>
        <w:jc w:val="both"/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1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75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 Xuantong Zhou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我们衷心感谢你们通过细致的审查发现了这一差异。我们仔细检查了原始数据，发现与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100 μM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处理条件下的实验结果相对应的图像面板被错误地放在了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50 μM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处理结果部分。如图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R1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所示，我们已经提供了原始源文件和校正图像。同时，我们将与编辑部沟通，提供我们的原始数据，并要求发表勘误。再次感谢您的细心关注。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3708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112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S9j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之间的图像相似性问题，我们对图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中图像的不慎错位表示诚挚的歉意。在对原始数据进行全面审查并根据原始图像捕获时间戳后，我们发现重命名过程中出现了错误，再加上计算机的自动命名功能造成了混淆，从而导致图像错位（图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R2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）。此外，图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S10c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S9j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中的相似性来自随机捕获的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K450P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细胞中相同实验条件的图像。我们将联系编辑部提供原始数据，并要求发表勘误。非常感谢您的仔细审阅，并提请我们注意这些问题。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95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国家重点研发计划（2021YFC2501000、2020YFA0803300）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国家自然科学基金（82030089、82188102）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CAMS医学科学创新基金（2021-1-I2M-018、2021-I2M-1-067）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中国博士后科学基金（2021M700007）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深圳市医学三明工程（No. SZSM201812062）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广东省基础与应用基础研究基金（2019B030302012）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https://pmc.ncbi.nlm.nih.gov/articles/PMC9588768/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https://pubpeer.com/publications/84C82AD45DAC7F72CE7CC9E8DAE0D9#0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369&amp;idx=1&amp;sn=23c3360ea1e3900796139490697a3a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