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武汉大学医学研究院副院长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Molecular Cell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00:05:47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Trifolium aureum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S2A</w:t>
      </w:r>
      <w:r>
        <w:rPr>
          <w:rStyle w:val="any"/>
          <w:rFonts w:ascii="PMingLiU" w:eastAsia="PMingLiU" w:hAnsi="PMingLiU" w:cs="PMingLiU"/>
          <w:spacing w:val="8"/>
        </w:rPr>
        <w:t>似乎显示了一些条带之间惊人的相似之处。用相同颜色的方框展示。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2781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2078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2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Trifolium aureum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显示了一些条带之间惊人的相似之处。用相同颜色的方框展示。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4580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679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45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Trifolium aureum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5G</w:t>
      </w:r>
      <w:r>
        <w:rPr>
          <w:rStyle w:val="any"/>
          <w:rFonts w:ascii="PMingLiU" w:eastAsia="PMingLiU" w:hAnsi="PMingLiU" w:cs="PMingLiU"/>
          <w:spacing w:val="8"/>
        </w:rPr>
        <w:t>似乎显示了一些条带之间惊人的相似之处。用相同颜色的方框展示。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1313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233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13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Trifolium aureum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S7G CyclinE</w:t>
      </w:r>
      <w:r>
        <w:rPr>
          <w:rStyle w:val="any"/>
          <w:rFonts w:ascii="PMingLiU" w:eastAsia="PMingLiU" w:hAnsi="PMingLiU" w:cs="PMingLiU"/>
          <w:spacing w:val="8"/>
        </w:rPr>
        <w:t>免疫印迹在两个不同的细胞组之间重复使用。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13812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4372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13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Trifolium aureum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S3D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Akt</w:t>
      </w:r>
      <w:r>
        <w:rPr>
          <w:rStyle w:val="any"/>
          <w:rFonts w:ascii="PMingLiU" w:eastAsia="PMingLiU" w:hAnsi="PMingLiU" w:cs="PMingLiU"/>
          <w:spacing w:val="8"/>
        </w:rPr>
        <w:t>免疫印迹在两幅图之间重复使用。虽然样品相同，但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N-Myc</w:t>
      </w:r>
      <w:r>
        <w:rPr>
          <w:rStyle w:val="any"/>
          <w:rFonts w:ascii="PMingLiU" w:eastAsia="PMingLiU" w:hAnsi="PMingLiU" w:cs="PMingLiU"/>
          <w:spacing w:val="8"/>
        </w:rPr>
        <w:t>面板并不相同。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76553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1726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Guoliang Qing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#1-3</w:t>
      </w:r>
      <w:r>
        <w:rPr>
          <w:rStyle w:val="any"/>
          <w:rFonts w:ascii="PMingLiU" w:eastAsia="PMingLiU" w:hAnsi="PMingLiU" w:cs="PMingLiU"/>
          <w:spacing w:val="8"/>
        </w:rPr>
        <w:t>我是通讯作者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Guoliang Qing</w:t>
      </w:r>
      <w:r>
        <w:rPr>
          <w:rStyle w:val="any"/>
          <w:rFonts w:ascii="PMingLiU" w:eastAsia="PMingLiU" w:hAnsi="PMingLiU" w:cs="PMingLiU"/>
          <w:spacing w:val="8"/>
        </w:rPr>
        <w:t>。我一直在努力联系第一作者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Daibiao Xiao</w:t>
      </w:r>
      <w:r>
        <w:rPr>
          <w:rStyle w:val="any"/>
          <w:rFonts w:ascii="PMingLiU" w:eastAsia="PMingLiU" w:hAnsi="PMingLiU" w:cs="PMingLiU"/>
          <w:spacing w:val="8"/>
        </w:rPr>
        <w:t>博士，以查找原始数据，他已经离开实验室三年多了。由于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年初的实验室迁移，一些原始数据不幸丢失。请注意，本文中有多个证据表明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PLK1</w:t>
      </w:r>
      <w:r>
        <w:rPr>
          <w:rStyle w:val="any"/>
          <w:rFonts w:ascii="PMingLiU" w:eastAsia="PMingLiU" w:hAnsi="PMingLiU" w:cs="PMingLiU"/>
          <w:spacing w:val="8"/>
        </w:rPr>
        <w:t>抑制导致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N-MYC</w:t>
      </w:r>
      <w:r>
        <w:rPr>
          <w:rStyle w:val="any"/>
          <w:rFonts w:ascii="PMingLiU" w:eastAsia="PMingLiU" w:hAnsi="PMingLiU" w:cs="PMingLiU"/>
          <w:spacing w:val="8"/>
        </w:rPr>
        <w:t>的有效降解（如图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S1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PMingLiU" w:eastAsia="PMingLiU" w:hAnsi="PMingLiU" w:cs="PMingLiU"/>
          <w:spacing w:val="8"/>
        </w:rPr>
        <w:t>我们发现了细胞周期蛋白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</w:t>
      </w:r>
      <w:r>
        <w:rPr>
          <w:rStyle w:val="any"/>
          <w:rFonts w:ascii="PMingLiU" w:eastAsia="PMingLiU" w:hAnsi="PMingLiU" w:cs="PMingLiU"/>
          <w:spacing w:val="8"/>
        </w:rPr>
        <w:t>面板的原始图像，并发现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BE-2C</w:t>
      </w:r>
      <w:r>
        <w:rPr>
          <w:rStyle w:val="any"/>
          <w:rFonts w:ascii="PMingLiU" w:eastAsia="PMingLiU" w:hAnsi="PMingLiU" w:cs="PMingLiU"/>
          <w:spacing w:val="8"/>
        </w:rPr>
        <w:t>中的蛋白质条带被错误地用于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Kelly</w:t>
      </w:r>
      <w:r>
        <w:rPr>
          <w:rStyle w:val="any"/>
          <w:rFonts w:ascii="PMingLiU" w:eastAsia="PMingLiU" w:hAnsi="PMingLiU" w:cs="PMingLiU"/>
          <w:spacing w:val="8"/>
        </w:rPr>
        <w:t>（见下文）。谢谢你指出这一点。我们将联系编辑部索取更正。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2249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57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22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PMingLiU" w:eastAsia="PMingLiU" w:hAnsi="PMingLiU" w:cs="PMingLiU"/>
          <w:spacing w:val="8"/>
        </w:rPr>
        <w:t>方框标记的条带与两个图版中指出并使用的条带一致。如您所述，它们来自上方泳道描述中提到的同一张印迹。我们使用相同的细胞裂解液在另一项实验中再次分析了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N-Myc</w:t>
      </w:r>
      <w:r>
        <w:rPr>
          <w:rStyle w:val="any"/>
          <w:rFonts w:ascii="PMingLiU" w:eastAsia="PMingLiU" w:hAnsi="PMingLiU" w:cs="PMingLiU"/>
          <w:spacing w:val="8"/>
        </w:rPr>
        <w:t>，结果显示在图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4E</w:t>
      </w:r>
      <w:r>
        <w:rPr>
          <w:rStyle w:val="any"/>
          <w:rFonts w:ascii="PMingLiU" w:eastAsia="PMingLiU" w:hAnsi="PMingLiU" w:cs="PMingLiU"/>
          <w:spacing w:val="8"/>
        </w:rPr>
        <w:t>中，其蛋白条带模式相似。为了确认本文的核心概念</w:t>
      </w:r>
      <w:r>
        <w:rPr>
          <w:rStyle w:val="any"/>
          <w:rFonts w:ascii="Times New Roman" w:eastAsia="Times New Roman" w:hAnsi="Times New Roman" w:cs="Times New Roman"/>
          <w:spacing w:val="8"/>
        </w:rPr>
        <w:t>——</w:t>
      </w:r>
      <w:r>
        <w:rPr>
          <w:rStyle w:val="any"/>
          <w:rFonts w:ascii="PMingLiU" w:eastAsia="PMingLiU" w:hAnsi="PMingLiU" w:cs="PMingLiU"/>
          <w:spacing w:val="8"/>
        </w:rPr>
        <w:t>神经母细胞瘤细胞中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PLK1-Fbw7-N-Myc</w:t>
      </w:r>
      <w:r>
        <w:rPr>
          <w:rStyle w:val="any"/>
          <w:rFonts w:ascii="PMingLiU" w:eastAsia="PMingLiU" w:hAnsi="PMingLiU" w:cs="PMingLiU"/>
          <w:spacing w:val="8"/>
        </w:rPr>
        <w:t>调控环路，我们对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N-MYC</w:t>
      </w:r>
      <w:r>
        <w:rPr>
          <w:rStyle w:val="any"/>
          <w:rFonts w:ascii="PMingLiU" w:eastAsia="PMingLiU" w:hAnsi="PMingLiU" w:cs="PMingLiU"/>
          <w:spacing w:val="8"/>
        </w:rPr>
        <w:t>进行了第二次检测。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Schefflera chapana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4276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06019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4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https://www.cell.com/molecular-cell/fulltext/S1097-2765(16)30565-2?_returnURL=https%3A%2F%2linkinghub.elsevier.com%2 Fretrieve %2Pii%2FS10972765163052%3F showall %3Dtrue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32536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0422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3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卿国良，武汉大学医学研究院教授、医学研究院副院长，教育部免疫与代谢前沿科学中心副主任。主持国家自然科学基金委、科技部和教育部多项科研项目，包括基金委国家杰出青年基金、基金委国家自然科学基金重点项目和科技部重大研究计划（课题负责人）。主要从事肿瘤代谢、免疫逃逸和肿瘤靶向治疗前沿基础研究。采用代谢组学、分子细胞生物学、遗传学及肿瘤模式动物等手段研究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）代谢异常促肿瘤免疫逃逸的分子机制；（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）肿瘤代谢重编程的网络调控机制；（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）抗肿瘤靶向药物筛选及分子药理机制。已在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Biotechnology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Molecular Cell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Nature Communications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Cell Reports</w:t>
      </w:r>
      <w:r>
        <w:rPr>
          <w:rStyle w:val="any"/>
          <w:rFonts w:ascii="PMingLiU" w:eastAsia="PMingLiU" w:hAnsi="PMingLiU" w:cs="PMingLiU"/>
          <w:spacing w:val="8"/>
        </w:rPr>
        <w:t>等国际著名期刊发表研究论文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3000</w:t>
      </w:r>
      <w:r>
        <w:rPr>
          <w:rStyle w:val="any"/>
          <w:rFonts w:ascii="PMingLiU" w:eastAsia="PMingLiU" w:hAnsi="PMingLiU" w:cs="PMingLiU"/>
          <w:spacing w:val="8"/>
        </w:rPr>
        <w:t>多次，其中单篇最高被引用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多次。持国际发明专利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项，已转让。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https://pubpeer.com/publications/6C3D635C9A4F2C4BFF1FBCE09E3714#0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528&amp;idx=1&amp;sn=9a57613f6830c237c329c6710718a98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