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作者声明已勘误！四川大学生物治疗全国重点实验室高祥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Heterodera avenae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8:NS</w:t>
      </w:r>
      <w:r>
        <w:rPr>
          <w:rStyle w:val="any"/>
          <w:rFonts w:ascii="PMingLiU" w:eastAsia="PMingLiU" w:hAnsi="PMingLiU" w:cs="PMingLiU"/>
          <w:spacing w:val="8"/>
        </w:rPr>
        <w:t>面板似乎与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FG</w:t>
      </w:r>
      <w:r>
        <w:rPr>
          <w:rStyle w:val="any"/>
          <w:rFonts w:ascii="PMingLiU" w:eastAsia="PMingLiU" w:hAnsi="PMingLiU" w:cs="PMingLiU"/>
          <w:spacing w:val="8"/>
        </w:rPr>
        <w:t>面板重叠。用红色框显示。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295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7609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4843" cy="30484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265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Impact Journals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注：本文已更正。请查看以下链接：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https://www.oncotarget.com/article/27605/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Elisabeth M Bik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提出了图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中的另一个问题：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粉红色框：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FG DAPI</w:t>
      </w:r>
      <w:r>
        <w:rPr>
          <w:rStyle w:val="any"/>
          <w:rFonts w:ascii="PMingLiU" w:eastAsia="PMingLiU" w:hAnsi="PMingLiU" w:cs="PMingLiU"/>
          <w:spacing w:val="8"/>
        </w:rPr>
        <w:t>面板看起来与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Xiaoxiao Liu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Theranosics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DOI:10.7150/thno.24157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GS</w:t>
      </w:r>
      <w:r>
        <w:rPr>
          <w:rStyle w:val="any"/>
          <w:rFonts w:ascii="PMingLiU" w:eastAsia="PMingLiU" w:hAnsi="PMingLiU" w:cs="PMingLiU"/>
          <w:spacing w:val="8"/>
        </w:rPr>
        <w:t>面板非常相似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800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470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4843" cy="30484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1945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#4 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Xiang Gao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于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2025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4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#3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我们六年前已经纠正了这一点。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0"/>
          <w:sz w:val="26"/>
          <w:szCs w:val="26"/>
          <w:shd w:val="clear" w:color="auto" w:fill="FFFFFF"/>
        </w:rPr>
        <w:t>https://pubmed.ncbi.nlm.nih.gov/31588229/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https://www.oncotarget.com/article/23507/text/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194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2035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304843" cy="3048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5089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3" cy="30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高祥，博士，研究员，博导，四川大学生物治疗国家重点实验室、华西医院神经外科。研究方向：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1. </w:t>
      </w:r>
      <w:r>
        <w:rPr>
          <w:rStyle w:val="any"/>
          <w:rFonts w:ascii="PMingLiU" w:eastAsia="PMingLiU" w:hAnsi="PMingLiU" w:cs="PMingLiU"/>
          <w:spacing w:val="8"/>
        </w:rPr>
        <w:t>神经系统疾病的发病机制；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2. </w:t>
      </w:r>
      <w:r>
        <w:rPr>
          <w:rStyle w:val="any"/>
          <w:rFonts w:ascii="PMingLiU" w:eastAsia="PMingLiU" w:hAnsi="PMingLiU" w:cs="PMingLiU"/>
          <w:spacing w:val="8"/>
        </w:rPr>
        <w:t>基于非病毒载体的肿瘤免疫基因治疗；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3. </w:t>
      </w:r>
      <w:r>
        <w:rPr>
          <w:rStyle w:val="any"/>
          <w:rFonts w:ascii="PMingLiU" w:eastAsia="PMingLiU" w:hAnsi="PMingLiU" w:cs="PMingLiU"/>
          <w:spacing w:val="8"/>
        </w:rPr>
        <w:t>新型靶向纳米药物用于肿瘤等重大疾病的靶向治疗。相关工作在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Central Science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Biomaterials</w:t>
      </w:r>
      <w:r>
        <w:rPr>
          <w:rStyle w:val="any"/>
          <w:rFonts w:ascii="PMingLiU" w:eastAsia="PMingLiU" w:hAnsi="PMingLiU" w:cs="PMingLiU"/>
          <w:spacing w:val="8"/>
        </w:rPr>
        <w:t>等国际知名杂志发表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</w:t>
      </w:r>
      <w:r>
        <w:rPr>
          <w:rStyle w:val="any"/>
          <w:rFonts w:ascii="PMingLiU" w:eastAsia="PMingLiU" w:hAnsi="PMingLiU" w:cs="PMingLiU"/>
          <w:spacing w:val="8"/>
        </w:rPr>
        <w:t>余篇，其中以通讯及第一作者发表系列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26</w:t>
      </w:r>
      <w:r>
        <w:rPr>
          <w:rStyle w:val="any"/>
          <w:rFonts w:ascii="PMingLiU" w:eastAsia="PMingLiU" w:hAnsi="PMingLiU" w:cs="PMingLiU"/>
          <w:spacing w:val="8"/>
        </w:rPr>
        <w:t>篇（所有工作均在国内完成），其中影响因子大于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的论文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篇，相关工作被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Chem Soc Rev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Chem Rev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Adv Drug Deliver Rev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Trends Immunol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</w:t>
      </w:r>
      <w:r>
        <w:rPr>
          <w:rStyle w:val="any"/>
          <w:rFonts w:ascii="PMingLiU" w:eastAsia="PMingLiU" w:hAnsi="PMingLiU" w:cs="PMingLiU"/>
          <w:spacing w:val="8"/>
        </w:rPr>
        <w:t>等杂志引用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1000</w:t>
      </w:r>
      <w:r>
        <w:rPr>
          <w:rStyle w:val="any"/>
          <w:rFonts w:ascii="PMingLiU" w:eastAsia="PMingLiU" w:hAnsi="PMingLiU" w:cs="PMingLiU"/>
          <w:spacing w:val="8"/>
        </w:rPr>
        <w:t>余次。任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Journal of Biomedical Nanotechnology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Acta Pharmaceutica Sinica B</w:t>
      </w:r>
      <w:r>
        <w:rPr>
          <w:rStyle w:val="any"/>
          <w:rFonts w:ascii="PMingLiU" w:eastAsia="PMingLiU" w:hAnsi="PMingLiU" w:cs="PMingLiU"/>
          <w:spacing w:val="8"/>
        </w:rPr>
        <w:t>等五种国际期刊编委及青年编委，为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Acs Nano,Nano Letters, Biomaterials, Theranostics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Nanoscale</w:t>
      </w:r>
      <w:r>
        <w:rPr>
          <w:rStyle w:val="any"/>
          <w:rFonts w:ascii="PMingLiU" w:eastAsia="PMingLiU" w:hAnsi="PMingLiU" w:cs="PMingLiU"/>
          <w:spacing w:val="8"/>
        </w:rPr>
        <w:t>等多种国际期刊审特邀稿人。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罗婷，一级专家，乳腺疾病中心副主任，副教授，硕士生导师，四川大学华西医院博士后出站后留院工作。擅长乳腺癌的诊断与综合治疗（化疗、内分泌治疗、靶向治疗、免疫治疗等）。中国临床肿瘤学会青年专家委员会委员；中国临床肿瘤学会乳腺癌专委会委员；中国抗癌协会乳腺癌专委会青年专家。作为负责人及主研承担国家自然科学基金、国家级和省级部级及横向课题二十余项；以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PI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Sub-PI</w:t>
      </w:r>
      <w:r>
        <w:rPr>
          <w:rStyle w:val="any"/>
          <w:rFonts w:ascii="PMingLiU" w:eastAsia="PMingLiU" w:hAnsi="PMingLiU" w:cs="PMingLiU"/>
          <w:spacing w:val="8"/>
        </w:rPr>
        <w:t>身份参与国际及国内多中心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GCP</w:t>
      </w:r>
      <w:r>
        <w:rPr>
          <w:rStyle w:val="any"/>
          <w:rFonts w:ascii="PMingLiU" w:eastAsia="PMingLiU" w:hAnsi="PMingLiU" w:cs="PMingLiU"/>
          <w:spacing w:val="8"/>
        </w:rPr>
        <w:t>临床研究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余项；发表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收录论文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余篇。《中华乳腺病杂志》通讯编委，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JCO</w:t>
      </w:r>
      <w:r>
        <w:rPr>
          <w:rStyle w:val="any"/>
          <w:rFonts w:ascii="PMingLiU" w:eastAsia="PMingLiU" w:hAnsi="PMingLiU" w:cs="PMingLiU"/>
          <w:spacing w:val="8"/>
        </w:rPr>
        <w:t>中文版编委。成都医学会医疗损伤鉴定专家。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https://pubpeer.com/publications/D33E4FC9A61E86FDBF7AD895D9357B#0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2&amp;sn=69c71790a40c8bdf23078865a651668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