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48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49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89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44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19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10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24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