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中国医学科学院阜外医院某研究团队所发文章被质疑文章内发生图片重叠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2025-04-25 09:14:57</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63458"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2016 年 12 月 7 日，中国医学科学院阜外医院Wei wei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Artificial organs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Danshen-Enhanced Cardioprotective Effect of Cardioplegia on Ischemia Reperfusion Injury in a Human-Induced Pluripotent Stem Cell-Derived Cardiomyocytes Model</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03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370463" name=""/>
                    <pic:cNvPicPr>
                      <a:picLocks noChangeAspect="1"/>
                    </pic:cNvPicPr>
                  </pic:nvPicPr>
                  <pic:blipFill>
                    <a:blip xmlns:r="http://schemas.openxmlformats.org/officeDocument/2006/relationships" r:embed="rId7"/>
                    <a:stretch>
                      <a:fillRect/>
                    </a:stretch>
                  </pic:blipFill>
                  <pic:spPr>
                    <a:xfrm>
                      <a:off x="0" y="0"/>
                      <a:ext cx="5486400" cy="180340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696075" cy="583882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55836" name=""/>
                    <pic:cNvPicPr>
                      <a:picLocks noChangeAspect="1"/>
                    </pic:cNvPicPr>
                  </pic:nvPicPr>
                  <pic:blipFill>
                    <a:blip xmlns:r="http://schemas.openxmlformats.org/officeDocument/2006/relationships" r:embed="rId8"/>
                    <a:stretch>
                      <a:fillRect/>
                    </a:stretch>
                  </pic:blipFill>
                  <pic:spPr>
                    <a:xfrm>
                      <a:off x="0" y="0"/>
                      <a:ext cx="6696075" cy="583882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https://pubpeer.com/publications/D408EE4B7534CF63920CC72B42A130#0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59919"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497763"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8371&amp;idx=1&amp;sn=75432549906838a5d4e89486abb147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