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回应文章要价</w:t>
        </w:r>
        <w:r>
          <w:rPr>
            <w:rStyle w:val="a"/>
            <w:rFonts w:ascii="Times New Roman" w:eastAsia="Times New Roman" w:hAnsi="Times New Roman" w:cs="Times New Roman"/>
            <w:b w:val="0"/>
            <w:bCs w:val="0"/>
            <w:spacing w:val="8"/>
          </w:rPr>
          <w:t xml:space="preserve"> 4000 </w:t>
        </w:r>
        <w:r>
          <w:rPr>
            <w:rStyle w:val="a"/>
            <w:rFonts w:ascii="PMingLiU" w:eastAsia="PMingLiU" w:hAnsi="PMingLiU" w:cs="PMingLiU"/>
            <w:b w:val="0"/>
            <w:bCs w:val="0"/>
            <w:spacing w:val="8"/>
          </w:rPr>
          <w:t>美元，科学期刊收费引质疑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3776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1742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5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28224" name=""/>
                    <pic:cNvPicPr>
                      <a:picLocks noChangeAspect="1"/>
                    </pic:cNvPicPr>
                  </pic:nvPicPr>
                  <pic:blipFill>
                    <a:blip xmlns:r="http://schemas.openxmlformats.org/officeDocument/2006/relationships" r:embed="rId8"/>
                    <a:stretch>
                      <a:fillRect/>
                    </a:stretch>
                  </pic:blipFill>
                  <pic:spPr>
                    <a:xfrm>
                      <a:off x="0" y="0"/>
                      <a:ext cx="5486400" cy="38705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w:t>
      </w:r>
      <w:r>
        <w:rPr>
          <w:rStyle w:val="any"/>
          <w:rFonts w:ascii="Times New Roman" w:eastAsia="Times New Roman" w:hAnsi="Times New Roman" w:cs="Times New Roman"/>
          <w:spacing w:val="8"/>
        </w:rPr>
        <w:t>Andrew Barnas</w:t>
      </w:r>
      <w:r>
        <w:rPr>
          <w:rStyle w:val="any"/>
          <w:rFonts w:ascii="PMingLiU" w:eastAsia="PMingLiU" w:hAnsi="PMingLiU" w:cs="PMingLiU"/>
          <w:spacing w:val="8"/>
        </w:rPr>
        <w:t>）在社交媒体发文指出，科学期刊不应向发表回应文章收费。安德鲁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巴纳斯来自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研究单位未提及</w:t>
      </w:r>
      <w:r>
        <w:rPr>
          <w:rStyle w:val="any"/>
          <w:rFonts w:ascii="Times New Roman" w:eastAsia="Times New Roman" w:hAnsi="Times New Roman" w:cs="Times New Roman"/>
          <w:spacing w:val="8"/>
        </w:rPr>
        <w:t>]</w:t>
      </w:r>
      <w:r>
        <w:rPr>
          <w:rStyle w:val="any"/>
          <w:rFonts w:ascii="PMingLiU" w:eastAsia="PMingLiU" w:hAnsi="PMingLiU" w:cs="PMingLiU"/>
          <w:spacing w:val="8"/>
        </w:rPr>
        <w:t>，其团队近期针对一篇对加拿大西部北方森林保护政策有重大影响的论文发表了回应文章。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原始数据的统计及处理方式无法支持原作者结论，若错误不纠正，会在文献中传播，影响整个研究领域，甚至导致不良政策，破坏社会对科学过程的信任。因此，致力于科学探讨与审查的期刊，应积极发表基于追求真理的合理质疑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知名期刊的研究文章在发表前都经过同行评审，但技术错误仍难以避免，且有时这些错误对论文观点至关重要。若错误不被承认和公开纠正，会严重阻碍科学进步，压制异议、将研究结果呈现得不可挑战也会削弱公众对科学的信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巴纳斯的团队发表回应文章被收取了超过</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美元的费用，而原作者发表后续跟进文章同样需支付</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且他们发表原始论文时也支付了类似金额。这种向科学自我纠正行为设置高付费门槛的现象令人深思。此观点在社交媒体引发关注，有望推动科学界对期刊收费政策的反思，促进科学交流环境更加公平、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2389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69117"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2&amp;sn=289c9356c623511ac90b256d73cb55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