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新疆医科大学第一附属医院副主任王鑫团队论文被质疑数据问题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11:04:43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日，一篇题为《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Long non-coding RNA phosphatase and tensin homolog pseudogene 1 suppresses osteosarcoma cell growth via the phosphoinositide 3-kinase/protein kinase B signaling pathway</w:t>
      </w:r>
      <w:r>
        <w:rPr>
          <w:rStyle w:val="any"/>
          <w:rFonts w:ascii="PMingLiU" w:eastAsia="PMingLiU" w:hAnsi="PMingLiU" w:cs="PMingLiU"/>
          <w:spacing w:val="8"/>
        </w:rPr>
        <w:t>》（中文译名：长非编码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磷酸酶和张力蛋白同源物伪基因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>PI3K/AKT</w:t>
      </w:r>
      <w:r>
        <w:rPr>
          <w:rStyle w:val="any"/>
          <w:rFonts w:ascii="PMingLiU" w:eastAsia="PMingLiU" w:hAnsi="PMingLiU" w:cs="PMingLiU"/>
          <w:spacing w:val="8"/>
        </w:rPr>
        <w:t>信号通路抑制骨肉瘤细胞生长）的研究论文，发表在《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》期刊上，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为：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10.3892/etm.2018.6021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413685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4723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13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月，国际知名学术监督平台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Pupbeer </w:t>
      </w:r>
      <w:r>
        <w:rPr>
          <w:rStyle w:val="any"/>
          <w:rFonts w:ascii="PMingLiU" w:eastAsia="PMingLiU" w:hAnsi="PMingLiU" w:cs="PMingLiU"/>
          <w:spacing w:val="8"/>
        </w:rPr>
        <w:t>上，学术打假人士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Trichocline speciosa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Thamnobryum fasciculatum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对该论文提出质疑，指出其可能存在图像重复的问题。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5051266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445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05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344513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320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44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Xin Wang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王鑫），疑为</w:t>
      </w:r>
      <w:r>
        <w:rPr>
          <w:rStyle w:val="any"/>
          <w:rFonts w:ascii="PMingLiU" w:eastAsia="PMingLiU" w:hAnsi="PMingLiU" w:cs="PMingLiU"/>
          <w:spacing w:val="8"/>
        </w:rPr>
        <w:t>新疆医科大学第一附属医院重症医学中心副主任。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3"/>
          <w:szCs w:val="23"/>
        </w:rPr>
        <w:t>https://pubpeer.com/publications/DF0E6F786DE19ED8110598CA7DEBBC#0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3"/>
          <w:szCs w:val="23"/>
        </w:rPr>
        <w:t>https://www.spandidos-publications.com/10.3892/etm.2018.6021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8790182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273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879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701&amp;idx=3&amp;sn=699310191badd63b5368ffe0e0a9a6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