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南京鼓楼医院团队在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子刊上发表文章存在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18:44:22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462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iPubpeers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了解，某团队用了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系统，文章（刚发表的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大子刊）超过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1000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张图片，没有任何图片重复使用。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另外，某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及某瞳等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个系统出现严重漏查，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表现更优秀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国外某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Twin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[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还有国内的衍生版某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及某瞳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是一个软件（单机版），由学者自己操作检测图片，不存在数据泄露的风险。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（效率高，平均单次价格不超过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元，每次查重图片数量不限，安全性及保密性最强）能更好地检测出更多的重复图片。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国外检测系统某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9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），减少学术声誉的损害。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检测已经发表</w:t>
      </w:r>
      <w:r>
        <w:rPr>
          <w:rStyle w:val="any"/>
          <w:rFonts w:ascii="PMingLiU" w:eastAsia="PMingLiU" w:hAnsi="PMingLiU" w:cs="PMingLiU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高水平文章文章，漏检率达到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10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316" cy="2327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952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316" cy="232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诚信科研通过筛库，发现2024 年 8 月 13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南京鼓楼医院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Min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Wang等团队在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  <w:shd w:val="clear" w:color="auto" w:fill="FFFFFF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olor w:val="000000"/>
          <w:spacing w:val="8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SRF SUMOylation modulates smooth muscle phenotypic switch and vascular remodeling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18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17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28800" cy="1123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35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：图2E-10及图5H-8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08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51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331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19&amp;idx=1&amp;sn=f28450a254c8f93dd6b3ec1ebad671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