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湖南省肿瘤医院最新研究成果遭数据质询：同一组织切片图像重复使用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17:57:00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61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51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2019年9月12日，湖南省肿瘤医院Wenxiang Wang（王文祥）、Min Su（苏敏）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The Journal of Cellular Biochemistry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Long noncoding RNA lnc-ABCA12-3 promotes cell migration, invasion, and proliferation by regulating fibronectin 1 in esophageal squamous cell carcinom”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15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22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604"/>
            <wp:docPr id="100004" name="" descr="免挂号费 湖南省肿瘤医院院庆50周年回馈患者_湖南省肿瘤医院_健康频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23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出现多处重叠。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57700" cy="52387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59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https://pubpeer.com/publications/DB675986EDD9D61DC469EC2DE53E35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https://pubmed.ncbi.nlm.nih.gov/31512786/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16&amp;idx=1&amp;sn=b0072138586195322a1351bfb005c3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