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科研诚信大揭秘！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2001-2025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年英文撤稿文章可视化分析来了！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16:51:05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在探索真理与推动创新的科研征程中，每一篇学术论文都凝聚着科研人员的智慧心血与辛勤汗水。不过，近些年来，随着科研领域竞争态势的日益激烈，论文撤稿现象频繁出现，这一现象引发了社会各界对科研诚信问题的高度关注。今天，我们依托独家获取的2001年至2025年期间被撤稿的英文文章数据（共计23380篇retraction），从国家分布情况以及研究主题这两个关键维度出发，为您呈上一场别具一格的可视化分析盛宴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/>
          <w:bCs/>
          <w:i w:val="0"/>
          <w:iCs w:val="0"/>
          <w:caps w:val="0"/>
          <w:color w:val="06071F"/>
          <w:spacing w:val="0"/>
          <w:sz w:val="26"/>
          <w:szCs w:val="26"/>
          <w:shd w:val="clear" w:color="auto" w:fill="FDFDFE"/>
        </w:rPr>
        <w:t>一、国家分布：撤稿“重灾区”在哪里？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5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747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借助数据可视化分析，我们清晰地看到，在撤稿数量方面，中国、美国和印度位居前列，三国撤稿量总和占撤稿总量的比例接近70%。那么，究竟是什么原因让这些国家沦为撤稿的“重灾区”呢？是科研人员面临的压力过大、科研评价体系存在不合理之处，还是学术不端行为屡屡发生？下面将为您列举一些常见的原因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学术不端行为：包括抄袭、数据伪造和篡改。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研究瑕疵与操作失当：大量论文撤稿归因于实验设计缺陷、数据处理偏差或结果阐释失误。具体而言，实验结果的不可重复性、数据呈现失准或分析逻辑漏洞等问题，均可能触发撤稿程序。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伦理问题方面：如利益冲突、未充分获取知情同意，以及存在不道德研究行为等，均是导致论文撤稿的常见因素。具体而言，在一些情形下，作者可能未能按照规定取得其研究所需的恰当伦理审批。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同行评审造假：部分论文撤稿事件源于同行评审环节的违规操作，部分作者或许会推荐冒名顶替的审稿人，亦或是通过不正当手段干预评审流程，从而让自己的论文得以顺利发表。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论文代写机构：这类机构专门替作者炮制虚假的学术研究论文。它们通常具有一些典型特征，比如采用伪造的作者身份、运用模板化的文稿内容，以及大规模地提交多篇相似度极高的研究成果。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/>
          <w:bCs/>
          <w:i w:val="0"/>
          <w:iCs w:val="0"/>
          <w:caps w:val="0"/>
          <w:color w:val="06071F"/>
          <w:spacing w:val="0"/>
          <w:sz w:val="26"/>
          <w:szCs w:val="26"/>
          <w:shd w:val="clear" w:color="auto" w:fill="FDFDFE"/>
        </w:rPr>
        <w:t>二、国内大学机构：哪些机构更易“中枪”？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8308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0682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300" w:right="300" w:firstLine="0"/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  <w:t>从2001年到2025年，中国高校及其附属医院论文撤稿的具体情况，通过这张图得以清晰呈现。图中字体的大小，直观地对应着撤稿数量的多少。其中，“吉林大学”“中南大学”“华中科技大学附属协和医院”等机构的字体较大，这表明它们的撤稿数量相对较多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210" w:after="0" w:line="382" w:lineRule="atLeast"/>
        <w:ind w:left="300" w:right="300" w:firstLine="0"/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  <w:t>撤稿作为学术领域自我纠错的一种重要方式，然而，如果撤稿现象过于频繁，那就可能暗示着科研管理体系存在某些不足之处。这种情况值得各个研究机构以及管理部门进行深入反思。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210" w:after="0" w:line="382" w:lineRule="atLeast"/>
        <w:ind w:left="300" w:right="300" w:firstLine="0"/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  <w:t>在当前科研评价体系正逐步从以“数量”为核心导向，转变为以“质量”为核心导向的大趋势下，科研共同体共同面临着一些亟待解决的问题。比如，怎样提高研究工作的严谨性和规范性，以及如何建立起透明、高效的内部审核机制等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210" w:after="0" w:line="382" w:lineRule="atLeast"/>
        <w:ind w:left="300" w:right="300" w:firstLine="0"/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</w:pPr>
      <w:r>
        <w:rPr>
          <w:rStyle w:val="any"/>
          <w:rFonts w:ascii="PingFang-SC-Regular" w:eastAsia="PingFang-SC-Regular" w:hAnsi="PingFang-SC-Regular" w:cs="PingFang-SC-Regular"/>
          <w:b/>
          <w:bCs/>
          <w:i w:val="0"/>
          <w:iCs w:val="0"/>
          <w:caps w:val="0"/>
          <w:color w:val="06071F"/>
          <w:spacing w:val="0"/>
          <w:sz w:val="26"/>
          <w:szCs w:val="26"/>
        </w:rPr>
        <w:t>三、研究主题：哪些领域更易“翻车”？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993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64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3004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2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从研究主题的视角审视，</w:t>
      </w:r>
      <w:r>
        <w:rPr>
          <w:rStyle w:val="any"/>
          <w:rFonts w:ascii="PingFang-SC-Regular" w:eastAsia="PingFang-SC-Regular" w:hAnsi="PingFang-SC-Regular" w:cs="PingFang-SC-Regular"/>
          <w:b/>
          <w:bCs/>
          <w:i w:val="0"/>
          <w:iCs w:val="0"/>
          <w:caps w:val="0"/>
          <w:color w:val="FF4C41"/>
          <w:spacing w:val="0"/>
          <w:sz w:val="23"/>
          <w:szCs w:val="23"/>
          <w:u w:val="single" w:color="FF4C41"/>
          <w:shd w:val="clear" w:color="auto" w:fill="FDFDFE"/>
        </w:rPr>
        <w:t>医学、生物学与化学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已然成为论文撤稿的“重灾区”。这些领域为何如此容易出现“状况”？究竟是源于技术层面的高难度、数据获取过程中的重重阻碍，还是研究方法本身存在漏洞？经过更为深入的剖析，当下新兴的撤稿领域主要聚焦于</w:t>
      </w:r>
      <w:r>
        <w:rPr>
          <w:rStyle w:val="any"/>
          <w:rFonts w:ascii="PingFang-SC-Regular" w:eastAsia="PingFang-SC-Regular" w:hAnsi="PingFang-SC-Regular" w:cs="PingFang-SC-Regular"/>
          <w:b/>
          <w:bCs/>
          <w:i w:val="0"/>
          <w:iCs w:val="0"/>
          <w:caps w:val="0"/>
          <w:color w:val="FF4C41"/>
          <w:spacing w:val="0"/>
          <w:sz w:val="23"/>
          <w:szCs w:val="23"/>
          <w:u w:val="single" w:color="FF4C41"/>
          <w:shd w:val="clear" w:color="auto" w:fill="FDFDFE"/>
        </w:rPr>
        <w:t>人工智能、癌症研究、遗传学、细胞生物学以及生物信息学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等领域。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这些新兴主题鲜明地反映出这些学科领域正面临着不断变化的挑战，其中涵盖数据完整性、实验设计合理性以及伦理考量等诸多方面的问题。而在另一方面，化学、生物化学以及内科等相对传统的撤稿领域，在研究方法的运用以及数据解读环节，依旧存在着亟待解决且持续困扰的难题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/>
          <w:bCs/>
          <w:i w:val="0"/>
          <w:iCs w:val="0"/>
          <w:caps w:val="0"/>
          <w:color w:val="06071F"/>
          <w:spacing w:val="0"/>
          <w:sz w:val="26"/>
          <w:szCs w:val="26"/>
          <w:shd w:val="clear" w:color="auto" w:fill="FDFDFE"/>
        </w:rPr>
        <w:t>四、深度思考：如何守护科研诚信？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撤稿事件所带来的影响，绝不仅仅是为科研人员个人敲响警钟，它更促使我们对整个科研生态环境展开深度反思。当撤稿现象频繁进入我们的视野，一系列严肃的问题便自然而然地浮现出来：我们究竟该采取何种措施，才能打造出一个更为健康且透明的科研环境呢？又该如何切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实强化科研人员的诚信教育，从根源上杜绝学术不端行为呢？再者，怎样去完善现有的科研评价体系，使得那些真正具备价值的研究成果能够在众多成果中崭露头角呢？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6071F"/>
          <w:spacing w:val="0"/>
          <w:sz w:val="26"/>
          <w:szCs w:val="26"/>
          <w:shd w:val="clear" w:color="auto" w:fill="FDFDFE"/>
        </w:rPr>
        <w:t>行动倡议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6"/>
          <w:szCs w:val="26"/>
          <w:shd w:val="clear" w:color="auto" w:fill="FDFDFE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1.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深化诚信教育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：将科研诚信教育贯穿人才培养全过程，从学生阶段强化学术道德与责任意识。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2.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优化评价机制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：构建多元化、综合性的科研评价体系，降低唯论文、唯指标带来的学术压力。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3.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严格监管惩处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：健全学术不端查处机制，加大惩戒力度，增强警示与威慑作用。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4.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推动全球协作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：加强国际科研合作与信息共享，联合应对跨国学术不端问题。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来源：爱科赛普特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223987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color w:val="EFE3C4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EFE3C4"/>
          <w:spacing w:val="8"/>
        </w:rPr>
        <w:t>END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3065&amp;idx=1&amp;sn=3aa2071d165aa7aa92f183fd7fb8b78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