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南京中医药大学药学院论文图片被质疑</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一图多用</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2025-04-23 16:28:11</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721695"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808477"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2024年9月，</w:t>
      </w:r>
      <w:r>
        <w:rPr>
          <w:rStyle w:val="any"/>
          <w:rFonts w:ascii="默认字体" w:eastAsia="默认字体" w:hAnsi="默认字体" w:cs="默认字体"/>
          <w:b/>
          <w:bCs/>
          <w:color w:val="000000"/>
          <w:spacing w:val="15"/>
          <w:sz w:val="26"/>
          <w:szCs w:val="26"/>
        </w:rPr>
        <w:t>南京中医药大学药学院，</w:t>
      </w:r>
      <w:r>
        <w:rPr>
          <w:rStyle w:val="any"/>
          <w:rFonts w:ascii="默认字体" w:eastAsia="默认字体" w:hAnsi="默认字体" w:cs="默认字体"/>
          <w:b/>
          <w:bCs/>
          <w:color w:val="000000"/>
          <w:spacing w:val="15"/>
          <w:sz w:val="26"/>
          <w:szCs w:val="26"/>
        </w:rPr>
        <w:t>南京医科大学附属泰州人民医院</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ACS </w:t>
      </w:r>
      <w:r>
        <w:rPr>
          <w:rStyle w:val="any"/>
          <w:rFonts w:ascii="默认字体" w:eastAsia="默认字体" w:hAnsi="默认字体" w:cs="默认字体"/>
          <w:color w:val="000000"/>
          <w:spacing w:val="15"/>
          <w:sz w:val="26"/>
          <w:szCs w:val="26"/>
        </w:rPr>
        <w:t>Applied Materials &amp; Interfaces</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Sonication-Assisted Self-Assembled Resveratrol Nanoparticles with Enhanced Antiviral and Anti-inflammatory Activity against Respiratory Syncytial Virus-Induced Pneumonia</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声波辅助自组装白藜芦醇纳米颗粒对呼吸道合胞病毒引发的肺炎具有更强的抗病毒和抗炎活性</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10.1021/acsami.4c11525</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南京中医药大学药学院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Chenqi Chang</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南京医科大学附属泰州人民医院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Linwei Chen</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b w:val="0"/>
          <w:bCs w:val="0"/>
          <w:color w:val="000000"/>
          <w:spacing w:val="15"/>
          <w:sz w:val="26"/>
          <w:szCs w:val="26"/>
        </w:rPr>
        <w:t>南京中医药大学药学院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52FF"/>
          <w:spacing w:val="15"/>
          <w:sz w:val="26"/>
          <w:szCs w:val="26"/>
        </w:rPr>
        <w:t> </w:t>
      </w:r>
      <w:r>
        <w:rPr>
          <w:rStyle w:val="any"/>
          <w:rFonts w:ascii="Times New Roman" w:eastAsia="Times New Roman" w:hAnsi="Times New Roman" w:cs="Times New Roman"/>
          <w:color w:val="000000"/>
          <w:spacing w:val="15"/>
          <w:sz w:val="26"/>
          <w:szCs w:val="26"/>
        </w:rPr>
        <w:t>Zhipeng Chen</w:t>
      </w:r>
      <w:r>
        <w:rPr>
          <w:rStyle w:val="any"/>
          <w:rFonts w:ascii="PMingLiU" w:eastAsia="PMingLiU" w:hAnsi="PMingLiU" w:cs="PMingLiU"/>
          <w:color w:val="000000"/>
          <w:spacing w:val="15"/>
          <w:sz w:val="26"/>
          <w:szCs w:val="26"/>
        </w:rPr>
        <w:t>（音译：陈志鹏），</w:t>
      </w:r>
      <w:r>
        <w:rPr>
          <w:rStyle w:val="any"/>
          <w:rFonts w:ascii="Times New Roman" w:eastAsia="Times New Roman" w:hAnsi="Times New Roman" w:cs="Times New Roman"/>
          <w:color w:val="000000"/>
          <w:spacing w:val="15"/>
          <w:sz w:val="26"/>
          <w:szCs w:val="26"/>
        </w:rPr>
        <w:t>Rui Chen</w:t>
      </w:r>
      <w:r>
        <w:rPr>
          <w:rStyle w:val="any"/>
          <w:rFonts w:ascii="PMingLiU" w:eastAsia="PMingLiU" w:hAnsi="PMingLiU" w:cs="PMingLiU"/>
          <w:color w:val="000000"/>
          <w:spacing w:val="15"/>
          <w:sz w:val="26"/>
          <w:szCs w:val="26"/>
        </w:rPr>
        <w:t>（音译：陈瑞）</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12922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036095" name=""/>
                    <pic:cNvPicPr>
                      <a:picLocks noChangeAspect="1"/>
                    </pic:cNvPicPr>
                  </pic:nvPicPr>
                  <pic:blipFill>
                    <a:blip xmlns:r="http://schemas.openxmlformats.org/officeDocument/2006/relationships" r:embed="rId8"/>
                    <a:stretch>
                      <a:fillRect/>
                    </a:stretch>
                  </pic:blipFill>
                  <pic:spPr>
                    <a:xfrm>
                      <a:off x="0" y="0"/>
                      <a:ext cx="5486400" cy="1292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Nitzschia longissima</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在本文图</w:t>
      </w:r>
      <w:r>
        <w:rPr>
          <w:rStyle w:val="any"/>
          <w:rFonts w:ascii="Times New Roman" w:eastAsia="Times New Roman" w:hAnsi="Times New Roman" w:cs="Times New Roman"/>
          <w:color w:val="000000"/>
          <w:spacing w:val="15"/>
        </w:rPr>
        <w:t xml:space="preserve"> 7B </w:t>
      </w:r>
      <w:r>
        <w:rPr>
          <w:rStyle w:val="any"/>
          <w:rFonts w:ascii="PMingLiU" w:eastAsia="PMingLiU" w:hAnsi="PMingLiU" w:cs="PMingLiU"/>
          <w:color w:val="000000"/>
          <w:spacing w:val="15"/>
        </w:rPr>
        <w:t>中，如果</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正面，</w:t>
      </w:r>
      <w:r>
        <w:rPr>
          <w:rStyle w:val="any"/>
          <w:rFonts w:ascii="Times New Roman" w:eastAsia="Times New Roman" w:hAnsi="Times New Roman" w:cs="Times New Roman"/>
          <w:color w:val="000000"/>
          <w:spacing w:val="15"/>
        </w:rPr>
        <w:t>Res NPs ”</w:t>
      </w:r>
      <w:r>
        <w:rPr>
          <w:rStyle w:val="any"/>
          <w:rFonts w:ascii="PMingLiU" w:eastAsia="PMingLiU" w:hAnsi="PMingLiU" w:cs="PMingLiU"/>
          <w:color w:val="000000"/>
          <w:spacing w:val="15"/>
        </w:rPr>
        <w:t>图像在</w:t>
      </w:r>
      <w:r>
        <w:rPr>
          <w:rStyle w:val="any"/>
          <w:rFonts w:ascii="Times New Roman" w:eastAsia="Times New Roman" w:hAnsi="Times New Roman" w:cs="Times New Roman"/>
          <w:color w:val="000000"/>
          <w:spacing w:val="15"/>
        </w:rPr>
        <w:t xml:space="preserve"> x </w:t>
      </w:r>
      <w:r>
        <w:rPr>
          <w:rStyle w:val="any"/>
          <w:rFonts w:ascii="PMingLiU" w:eastAsia="PMingLiU" w:hAnsi="PMingLiU" w:cs="PMingLiU"/>
          <w:color w:val="000000"/>
          <w:spacing w:val="15"/>
        </w:rPr>
        <w:t>和</w:t>
      </w:r>
      <w:r>
        <w:rPr>
          <w:rStyle w:val="any"/>
          <w:rFonts w:ascii="Times New Roman" w:eastAsia="Times New Roman" w:hAnsi="Times New Roman" w:cs="Times New Roman"/>
          <w:color w:val="000000"/>
          <w:spacing w:val="15"/>
        </w:rPr>
        <w:t xml:space="preserve"> y </w:t>
      </w:r>
      <w:r>
        <w:rPr>
          <w:rStyle w:val="any"/>
          <w:rFonts w:ascii="PMingLiU" w:eastAsia="PMingLiU" w:hAnsi="PMingLiU" w:cs="PMingLiU"/>
          <w:color w:val="000000"/>
          <w:spacing w:val="15"/>
        </w:rPr>
        <w:t>方向上按比例缩放，则会产生与</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背面，对照样本</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相同的图像。</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18846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37777" name=""/>
                    <pic:cNvPicPr>
                      <a:picLocks noChangeAspect="1"/>
                    </pic:cNvPicPr>
                  </pic:nvPicPr>
                  <pic:blipFill>
                    <a:blip xmlns:r="http://schemas.openxmlformats.org/officeDocument/2006/relationships" r:embed="rId9"/>
                    <a:stretch>
                      <a:fillRect/>
                    </a:stretch>
                  </pic:blipFill>
                  <pic:spPr>
                    <a:xfrm>
                      <a:off x="0" y="0"/>
                      <a:ext cx="5486400" cy="1884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https://pubpeer.com/publications/B9EDD69F52EDE077727B5A3C3EE18B#0</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0"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s?__biz=MzkyNTc2OTI4Mw==&amp;mid=2247484961&amp;idx=1&amp;sn=d8a51a591fb0c959e88bc92de949b52c&amp;scene=21" TargetMode="External" /><Relationship Id="rId11" Type="http://schemas.openxmlformats.org/officeDocument/2006/relationships/hyperlink" Target="https://mp.weixin.qq.com/s?__biz=MzkyNTc2OTI4Mw==&amp;mid=2247491231&amp;idx=1&amp;sn=bf06908b0e9e428754f6000aee228d8e&amp;scene=21" TargetMode="External" /><Relationship Id="rId12" Type="http://schemas.openxmlformats.org/officeDocument/2006/relationships/hyperlink" Target="https://mp.weixin.qq.com/s?__biz=MzkyNTc2OTI4Mw==&amp;mid=2247491873&amp;idx=1&amp;sn=5a5a332536e5e553616a469db0ceaa34&amp;scene=21" TargetMode="External" /><Relationship Id="rId13" Type="http://schemas.openxmlformats.org/officeDocument/2006/relationships/hyperlink" Target="https://mp.weixin.qq.com/s?__biz=MzkyNTc2OTI4Mw==&amp;mid=2247491708&amp;idx=2&amp;sn=5338a9fdda1f2807a34fe1be499c78cf&amp;scene=21" TargetMode="External" /><Relationship Id="rId14" Type="http://schemas.openxmlformats.org/officeDocument/2006/relationships/hyperlink" Target="https://mp.weixin.qq.com/s?__biz=MzkyNTc2OTI4Mw==&amp;mid=2247491914&amp;idx=1&amp;sn=f2421b6bcf3f228868d51e69904ab890&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3000&amp;idx=4&amp;sn=2ee5a0771075e4f6e17e6191eaf3587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