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IF=13.3</w:t>
        </w:r>
        <w:r>
          <w:rPr>
            <w:rStyle w:val="a"/>
            <w:rFonts w:ascii="PMingLiU" w:eastAsia="PMingLiU" w:hAnsi="PMingLiU" w:cs="PMingLiU"/>
            <w:b w:val="0"/>
            <w:bCs w:val="0"/>
            <w:spacing w:val="8"/>
          </w:rPr>
          <w:t>！上海交通大学附属瑞金医院</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论文被曝光图片重复！证据链已实锤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2025-04-28 10:05:09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年，上海交通大学医学院附属瑞金医院胡晓霞、中国医学科学院血液病医院（血液学研究所）程涛</w:t>
      </w:r>
      <w:r>
        <w:rPr>
          <w:rStyle w:val="any"/>
          <w:rFonts w:ascii="Times New Roman" w:eastAsia="Times New Roman" w:hAnsi="Times New Roman" w:cs="Times New Roman"/>
          <w:spacing w:val="8"/>
        </w:rPr>
        <w:t>/</w:t>
      </w:r>
      <w:r>
        <w:rPr>
          <w:rStyle w:val="any"/>
          <w:rFonts w:ascii="PMingLiU" w:eastAsia="PMingLiU" w:hAnsi="PMingLiU" w:cs="PMingLiU"/>
          <w:spacing w:val="8"/>
        </w:rPr>
        <w:t>程辉团队以及苏州大学附属第三医院顾伟英共同通讯在</w:t>
      </w:r>
      <w:r>
        <w:rPr>
          <w:rStyle w:val="any"/>
          <w:rFonts w:ascii="Times New Roman" w:eastAsia="Times New Roman" w:hAnsi="Times New Roman" w:cs="Times New Roman"/>
          <w:spacing w:val="8"/>
        </w:rPr>
        <w:t xml:space="preserve">Journal of Clinical Investigation </w:t>
      </w:r>
      <w:r>
        <w:rPr>
          <w:rStyle w:val="any"/>
          <w:rFonts w:ascii="PMingLiU" w:eastAsia="PMingLiU" w:hAnsi="PMingLiU" w:cs="PMingLiU"/>
          <w:spacing w:val="8"/>
        </w:rPr>
        <w:t>在线发表题为</w:t>
      </w:r>
      <w:r>
        <w:rPr>
          <w:rStyle w:val="any"/>
          <w:rFonts w:ascii="Times New Roman" w:eastAsia="Times New Roman" w:hAnsi="Times New Roman" w:cs="Times New Roman"/>
          <w:spacing w:val="8"/>
        </w:rPr>
        <w:t> Ruxolitinib improves hematopoietic regeneration by restoring mesenchymal stromal cell function in acute graft-versus-host disease </w:t>
      </w:r>
      <w:r>
        <w:rPr>
          <w:rStyle w:val="any"/>
          <w:rFonts w:ascii="PMingLiU" w:eastAsia="PMingLiU" w:hAnsi="PMingLiU" w:cs="PMingLiU"/>
          <w:spacing w:val="8"/>
        </w:rPr>
        <w:t>的研究论文，该研究探索了</w:t>
      </w:r>
      <w:r>
        <w:rPr>
          <w:rStyle w:val="any"/>
          <w:rFonts w:ascii="Times New Roman" w:eastAsia="Times New Roman" w:hAnsi="Times New Roman" w:cs="Times New Roman"/>
          <w:spacing w:val="8"/>
        </w:rPr>
        <w:t>aGVHD</w:t>
      </w:r>
      <w:r>
        <w:rPr>
          <w:rStyle w:val="any"/>
          <w:rFonts w:ascii="PMingLiU" w:eastAsia="PMingLiU" w:hAnsi="PMingLiU" w:cs="PMingLiU"/>
          <w:spacing w:val="8"/>
        </w:rPr>
        <w:t>背景下骨髓微环境的重塑规律，揭示选择性</w:t>
      </w:r>
      <w:r>
        <w:rPr>
          <w:rStyle w:val="any"/>
          <w:rFonts w:ascii="Times New Roman" w:eastAsia="Times New Roman" w:hAnsi="Times New Roman" w:cs="Times New Roman"/>
          <w:spacing w:val="8"/>
        </w:rPr>
        <w:t>JAK1/2</w:t>
      </w:r>
      <w:r>
        <w:rPr>
          <w:rStyle w:val="any"/>
          <w:rFonts w:ascii="PMingLiU" w:eastAsia="PMingLiU" w:hAnsi="PMingLiU" w:cs="PMingLiU"/>
          <w:spacing w:val="8"/>
        </w:rPr>
        <w:t>抑制剂</w:t>
      </w:r>
      <w:r>
        <w:rPr>
          <w:rStyle w:val="any"/>
          <w:rFonts w:ascii="Times New Roman" w:eastAsia="Times New Roman" w:hAnsi="Times New Roman" w:cs="Times New Roman"/>
          <w:spacing w:val="8"/>
        </w:rPr>
        <w:t>Ruxolitinib</w:t>
      </w:r>
      <w:r>
        <w:rPr>
          <w:rStyle w:val="any"/>
          <w:rFonts w:ascii="PMingLiU" w:eastAsia="PMingLiU" w:hAnsi="PMingLiU" w:cs="PMingLiU"/>
          <w:spacing w:val="8"/>
        </w:rPr>
        <w:t>（芦可替尼）可通过直接作用于宿主</w:t>
      </w:r>
      <w:r>
        <w:rPr>
          <w:rStyle w:val="any"/>
          <w:rFonts w:ascii="Times New Roman" w:eastAsia="Times New Roman" w:hAnsi="Times New Roman" w:cs="Times New Roman"/>
          <w:spacing w:val="8"/>
        </w:rPr>
        <w:t>BMSC</w:t>
      </w:r>
      <w:r>
        <w:rPr>
          <w:rStyle w:val="any"/>
          <w:rFonts w:ascii="PMingLiU" w:eastAsia="PMingLiU" w:hAnsi="PMingLiU" w:cs="PMingLiU"/>
          <w:spacing w:val="8"/>
        </w:rPr>
        <w:t>的</w:t>
      </w:r>
      <w:r>
        <w:rPr>
          <w:rStyle w:val="any"/>
          <w:rFonts w:ascii="Times New Roman" w:eastAsia="Times New Roman" w:hAnsi="Times New Roman" w:cs="Times New Roman"/>
          <w:spacing w:val="8"/>
        </w:rPr>
        <w:t>JAK2/STAT1</w:t>
      </w:r>
      <w:r>
        <w:rPr>
          <w:rStyle w:val="any"/>
          <w:rFonts w:ascii="PMingLiU" w:eastAsia="PMingLiU" w:hAnsi="PMingLiU" w:cs="PMingLiU"/>
          <w:spacing w:val="8"/>
        </w:rPr>
        <w:t>通路，改善因</w:t>
      </w:r>
      <w:r>
        <w:rPr>
          <w:rStyle w:val="any"/>
          <w:rFonts w:ascii="Times New Roman" w:eastAsia="Times New Roman" w:hAnsi="Times New Roman" w:cs="Times New Roman"/>
          <w:spacing w:val="8"/>
        </w:rPr>
        <w:t>aGVHD</w:t>
      </w:r>
      <w:r>
        <w:rPr>
          <w:rStyle w:val="any"/>
          <w:rFonts w:ascii="PMingLiU" w:eastAsia="PMingLiU" w:hAnsi="PMingLiU" w:cs="PMingLiU"/>
          <w:spacing w:val="8"/>
        </w:rPr>
        <w:t>受损的成骨</w:t>
      </w:r>
      <w:r>
        <w:rPr>
          <w:rStyle w:val="any"/>
          <w:rFonts w:ascii="Times New Roman" w:eastAsia="Times New Roman" w:hAnsi="Times New Roman" w:cs="Times New Roman"/>
          <w:spacing w:val="8"/>
        </w:rPr>
        <w:t>/</w:t>
      </w:r>
      <w:r>
        <w:rPr>
          <w:rStyle w:val="any"/>
          <w:rFonts w:ascii="PMingLiU" w:eastAsia="PMingLiU" w:hAnsi="PMingLiU" w:cs="PMingLiU"/>
          <w:spacing w:val="8"/>
        </w:rPr>
        <w:t>成脂分化潜能、造血支持能力及线粒体代谢水平，并通过增强</w:t>
      </w:r>
      <w:r>
        <w:rPr>
          <w:rStyle w:val="any"/>
          <w:rFonts w:ascii="Times New Roman" w:eastAsia="Times New Roman" w:hAnsi="Times New Roman" w:cs="Times New Roman"/>
          <w:spacing w:val="8"/>
        </w:rPr>
        <w:t>BMSC</w:t>
      </w:r>
      <w:r>
        <w:rPr>
          <w:rStyle w:val="any"/>
          <w:rFonts w:ascii="PMingLiU" w:eastAsia="PMingLiU" w:hAnsi="PMingLiU" w:cs="PMingLiU"/>
          <w:spacing w:val="8"/>
        </w:rPr>
        <w:t>向供体来源骨髓细胞的线粒体转移，进一步改善移植重建；这一结果在</w:t>
      </w:r>
      <w:r>
        <w:rPr>
          <w:rStyle w:val="any"/>
          <w:rFonts w:ascii="Times New Roman" w:eastAsia="Times New Roman" w:hAnsi="Times New Roman" w:cs="Times New Roman"/>
          <w:spacing w:val="8"/>
        </w:rPr>
        <w:t>aGVHD</w:t>
      </w:r>
      <w:r>
        <w:rPr>
          <w:rStyle w:val="any"/>
          <w:rFonts w:ascii="PMingLiU" w:eastAsia="PMingLiU" w:hAnsi="PMingLiU" w:cs="PMingLiU"/>
          <w:spacing w:val="8"/>
        </w:rPr>
        <w:t>患者样本中得到验证。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15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1084" name=""/>
                    <pic:cNvPicPr>
                      <a:picLocks noChangeAspect="1"/>
                    </pic:cNvPicPr>
                  </pic:nvPicPr>
                  <pic:blipFill>
                    <a:blip xmlns:r="http://schemas.openxmlformats.org/officeDocument/2006/relationships" r:embed="rId6"/>
                    <a:stretch>
                      <a:fillRect/>
                    </a:stretch>
                  </pic:blipFill>
                  <pic:spPr>
                    <a:xfrm>
                      <a:off x="0" y="0"/>
                      <a:ext cx="5486400" cy="36515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交通大学医学院附属瑞金医院胡晓霞主任医师和中国医学科学院血液病医院（中国医学科学院血液学研究所）程涛教授、程辉研究员以及常州市第一人民医院顾伟英主任医师为共同通讯作者。常州市第一人民医院林艳副主任医师、中国医学科学院血液病医院（中国医学科学院血液学研究所）博士生顾荃和杨子宁、卢士红副主任技师及上海交通大学医学院附属瑞金医院潘增凯主治医师为并列第一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该研究获得国家重点研发计划、国家自然科学基金、中国医学科学院医学与健康科技创新工程和细胞生态海河实验室创新基金等基金的支持。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9B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w:t>
      </w:r>
      <w:r>
        <w:rPr>
          <w:rStyle w:val="any"/>
          <w:rFonts w:ascii="PMingLiU" w:eastAsia="PMingLiU" w:hAnsi="PMingLiU" w:cs="PMingLiU"/>
          <w:spacing w:val="8"/>
        </w:rPr>
        <w:t>：同一块板出现了两次，标签不同。有一个</w:t>
      </w:r>
      <w:r>
        <w:rPr>
          <w:rStyle w:val="any"/>
          <w:rFonts w:ascii="Times New Roman" w:eastAsia="Times New Roman" w:hAnsi="Times New Roman" w:cs="Times New Roman"/>
          <w:spacing w:val="8"/>
        </w:rPr>
        <w:t xml:space="preserve"> 180 </w:t>
      </w:r>
      <w:r>
        <w:rPr>
          <w:rStyle w:val="any"/>
          <w:rFonts w:ascii="PMingLiU" w:eastAsia="PMingLiU" w:hAnsi="PMingLiU" w:cs="PMingLiU"/>
          <w:spacing w:val="8"/>
        </w:rPr>
        <w:t>度的旋转。我添加了红色形状来表明我的意思。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38725" cy="6534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49955" name=""/>
                    <pic:cNvPicPr>
                      <a:picLocks noChangeAspect="1"/>
                    </pic:cNvPicPr>
                  </pic:nvPicPr>
                  <pic:blipFill>
                    <a:blip xmlns:r="http://schemas.openxmlformats.org/officeDocument/2006/relationships" r:embed="rId7"/>
                    <a:stretch>
                      <a:fillRect/>
                    </a:stretch>
                  </pic:blipFill>
                  <pic:spPr>
                    <a:xfrm>
                      <a:off x="0" y="0"/>
                      <a:ext cx="5038725" cy="653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图像专家</w:t>
      </w:r>
      <w:r>
        <w:rPr>
          <w:rStyle w:val="any"/>
          <w:rFonts w:ascii="Times New Roman" w:eastAsia="Times New Roman" w:hAnsi="Times New Roman" w:cs="Times New Roman"/>
          <w:b/>
          <w:bCs/>
          <w:spacing w:val="8"/>
        </w:rPr>
        <w:t xml:space="preserve"> Illex illecebrosus </w:t>
      </w:r>
      <w:r>
        <w:rPr>
          <w:rStyle w:val="any"/>
          <w:rFonts w:ascii="PMingLiU" w:eastAsia="PMingLiU" w:hAnsi="PMingLiU" w:cs="PMingLiU"/>
          <w:b/>
          <w:bCs/>
          <w:spacing w:val="8"/>
        </w:rPr>
        <w:t>以动态图展示图片重复细节：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3719"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https://pubpeer.com/publications/FE57232A35816ECB8853EBCD6ACCCA#0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72&amp;idx=4&amp;sn=be14fbbf824c19c76fab1560515e838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