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793"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12310"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26470"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