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合作成果受挑战：中山大学附属第八医院放射科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扬州市江都人民医院肿瘤科研究遭质疑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47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近日，《Annals of Translational Medicine》期刊2020年发表的研究‘Long non-coding RNA LSINCT5 inactivates Wnt/β-catenin pathway to regulate MCF-7 cell proliferation and motility through targeting the miR-30a’受到评论人质疑。该研究由Guizhi Zhang , Wenbo Song（通讯作者）共同完成，通讯作者Wenbo Song单位为扬州大学附属江都人民医院 (扬州市江都人民医院）肿瘤科，第一作者Guizhi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中山大学附属第八医院放射科。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401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3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2023年9月评论人Hoya camphorifolia指出本文与多篇研究图像重复：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950208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81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41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52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94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2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6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2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29425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30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https://pubpeer.org/publications/9585F7382557EF42811175451FF0EC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49&amp;idx=1&amp;sn=ccfbc558bbb4235960861339235e2e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