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杰青周洁团队发表的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09:52:16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0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7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[4]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诚信科研编辑部通过筛库，发现2018年7月26日中山大学周洁团队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Experimental Medicine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ICAM-1 controls development and function of ILC2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42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10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24125" cy="1581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90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对所有图片（蛋白印迹除外）进行检测，iFigures发现文章间存在1对图片重复使用：图3F-2与5E-2是一样的图片（除了显示的数字不一样），但是代表明显不同的实验结果。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5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诚信科研编辑部通过筛库，发现2016年8月22日中山大学周洁团队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Immunology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Atorvastatin promotes the expansion of myeloid-derived suppressor cells and attenuates murine colitis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2858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5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对所有图片（蛋白印迹除外）进行检测，iFigures发现文章间存在1对图片重复使用：图4E-2与4E-1出现部分重叠，但是代表明显不同的实验结果。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6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89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诚信科研编辑部通过筛库，发现2021年12月17日天津医科大学周洁团队等团队合作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Mucosal Immunology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IF=7.9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Adenosine restrains ILC2-driven allergic airway inflammation via A2A receptor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”的研究论文（文章由于图片重复使用，更正过一次），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46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78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1906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3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对所有图片（蛋白印迹除外）进行检测，iFigures发现文章间存在1对图片重复使用：图2G-2与3D-1出现部分重叠，但是代表明显不同的实验结果。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8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18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诚信科研将图3D-1旋转90°，得到3D-1-XZ，发现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3D-1-XZ与2G-2出现部分重叠。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95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4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，与杂志社联系再次更正文章重复的图片。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诚信科研编辑部通过筛库，发现2022年1月19日天津医科大学周洁团队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Angiotensin II enhances group 2 innate lymphoid cell responses via AT1a during airway inflammation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4657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53352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5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对所有图片进行检测，iFigures发现文章间存在1对图片重复使用：图5G-1与5G-2出现部分重叠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815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0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9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79&amp;idx=1&amp;sn=3db26b37d2bdb3f4516b58ab587b9f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