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荧光显微镜图像与先前其他论文数据相似，四川省人民医院的论文被撤稿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2025-04-27 15:38:33</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494259"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01573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30" w:right="33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2020</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7</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23</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四川省人民医院口腔科的</w:t>
      </w:r>
      <w:r>
        <w:rPr>
          <w:rStyle w:val="any"/>
          <w:rFonts w:ascii="Times New Roman" w:eastAsia="Times New Roman" w:hAnsi="Times New Roman" w:cs="Times New Roman"/>
          <w:color w:val="C84D0C"/>
          <w:spacing w:val="9"/>
          <w:sz w:val="21"/>
          <w:szCs w:val="21"/>
        </w:rPr>
        <w:t>Chenglong Li</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spacing w:val="9"/>
          <w:sz w:val="21"/>
          <w:szCs w:val="21"/>
        </w:rPr>
        <w:t>Yandong Mu</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牟雁东</w:t>
      </w:r>
      <w:r>
        <w:rPr>
          <w:rStyle w:val="any"/>
          <w:rFonts w:ascii="PMingLiU" w:eastAsia="PMingLiU" w:hAnsi="PMingLiU" w:cs="PMingLiU"/>
          <w:color w:val="C84D0C"/>
          <w:spacing w:val="9"/>
          <w:sz w:val="21"/>
          <w:szCs w:val="21"/>
        </w:rPr>
        <w:t>）</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Molecular Medicine Reports</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IF=3.4</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Grooved hydroxyapatite scaffold modulates mitochondria homeostasis and thus promotes osteogenesis in bone mesenchymal stromal cells"</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沟槽状羟基磷灰石支架调节线粒体稳态，从而促进骨髓间充质干细胞的成骨分化</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30" w:right="33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432" w:lineRule="atLeast"/>
        <w:ind w:left="330" w:right="330"/>
        <w:rPr>
          <w:rStyle w:val="any"/>
          <w:rFonts w:ascii="Times New Roman" w:eastAsia="Times New Roman" w:hAnsi="Times New Roman" w:cs="Times New Roman"/>
          <w:spacing w:val="9"/>
        </w:rPr>
      </w:pPr>
      <w:r>
        <w:rPr>
          <w:rStyle w:val="any"/>
          <w:rFonts w:ascii="PMingLiU" w:eastAsia="PMingLiU" w:hAnsi="PMingLiU" w:cs="PMingLiU"/>
          <w:spacing w:val="9"/>
          <w:sz w:val="21"/>
          <w:szCs w:val="21"/>
        </w:rPr>
        <w:t>本研究得到了青年科技创新团队专项计划（项目编号：</w:t>
      </w:r>
      <w:r>
        <w:rPr>
          <w:rStyle w:val="any"/>
          <w:rFonts w:ascii="Times New Roman" w:eastAsia="Times New Roman" w:hAnsi="Times New Roman" w:cs="Times New Roman"/>
          <w:spacing w:val="9"/>
          <w:sz w:val="21"/>
          <w:szCs w:val="21"/>
        </w:rPr>
        <w:t>2016TD0008</w:t>
      </w:r>
      <w:r>
        <w:rPr>
          <w:rStyle w:val="any"/>
          <w:rFonts w:ascii="PMingLiU" w:eastAsia="PMingLiU" w:hAnsi="PMingLiU" w:cs="PMingLiU"/>
          <w:spacing w:val="9"/>
          <w:sz w:val="21"/>
          <w:szCs w:val="21"/>
        </w:rPr>
        <w:t>）的支持。</w:t>
      </w:r>
    </w:p>
    <w:p>
      <w:pPr>
        <w:pStyle w:val="p"/>
        <w:pBdr>
          <w:top w:val="none" w:sz="0" w:space="0" w:color="auto"/>
          <w:left w:val="none" w:sz="0" w:space="0" w:color="auto"/>
          <w:bottom w:val="none" w:sz="0" w:space="0" w:color="auto"/>
          <w:right w:val="none" w:sz="0" w:space="0" w:color="auto"/>
        </w:pBdr>
        <w:spacing w:before="0" w:after="0" w:line="432" w:lineRule="atLeast"/>
        <w:ind w:left="330" w:right="33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501528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109008" name=""/>
                    <pic:cNvPicPr>
                      <a:picLocks noChangeAspect="1"/>
                    </pic:cNvPicPr>
                  </pic:nvPicPr>
                  <pic:blipFill>
                    <a:blip xmlns:r="http://schemas.openxmlformats.org/officeDocument/2006/relationships" r:embed="rId8"/>
                    <a:stretch>
                      <a:fillRect/>
                    </a:stretch>
                  </pic:blipFill>
                  <pic:spPr>
                    <a:xfrm>
                      <a:off x="0" y="0"/>
                      <a:ext cx="5486400" cy="501528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3627120"/>
            <wp:docPr id="100004" name="" descr="医院简介-医院概况-四川省医学科学院·四川省人民医院_官方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130265" name=""/>
                    <pic:cNvPicPr>
                      <a:picLocks noChangeAspect="1"/>
                    </pic:cNvPicPr>
                  </pic:nvPicPr>
                  <pic:blipFill>
                    <a:blip xmlns:r="http://schemas.openxmlformats.org/officeDocument/2006/relationships" r:embed="rId9"/>
                    <a:stretch>
                      <a:fillRect/>
                    </a:stretch>
                  </pic:blipFill>
                  <pic:spPr>
                    <a:xfrm>
                      <a:off x="0" y="0"/>
                      <a:ext cx="5486400" cy="3627120"/>
                    </a:xfrm>
                    <a:prstGeom prst="rect">
                      <a:avLst/>
                    </a:prstGeom>
                  </pic:spPr>
                </pic:pic>
              </a:graphicData>
            </a:graphic>
          </wp:inline>
        </w:drawing>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21244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图2与两篇早期无关论文图像面板交叉重叠。</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Three papers share some of the same images. There are also some internal overlapping areas.</w:t>
      </w: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10.2147/dddt.s181798</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10.3892/mmr.2020.11352</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10.3892/ol.2018.8767</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 </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38328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453446" name=""/>
                    <pic:cNvPicPr>
                      <a:picLocks noChangeAspect="1"/>
                    </pic:cNvPicPr>
                  </pic:nvPicPr>
                  <pic:blipFill>
                    <a:blip xmlns:r="http://schemas.openxmlformats.org/officeDocument/2006/relationships" r:embed="rId10"/>
                    <a:stretch>
                      <a:fillRect/>
                    </a:stretch>
                  </pic:blipFill>
                  <pic:spPr>
                    <a:xfrm>
                      <a:off x="0" y="0"/>
                      <a:ext cx="5486400" cy="338328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6"/>
          <w:szCs w:val="26"/>
        </w:rPr>
        <w:t> </w:t>
      </w: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07408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于2025年4月7日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上述论文发表后，一位关注此事的读者向编辑指出，第2805页图2C中展示的某些荧光显微镜图像与先前不同研究机构的不同作者在其他论文中发表的数据惊人地相似。鉴于上述数据在提交给《</w:t>
      </w:r>
      <w:r>
        <w:rPr>
          <w:rStyle w:val="any"/>
          <w:rFonts w:ascii="Microsoft YaHei UI" w:eastAsia="Microsoft YaHei UI" w:hAnsi="Microsoft YaHei UI" w:cs="Microsoft YaHei UI"/>
          <w:b w:val="0"/>
          <w:bCs w:val="0"/>
          <w:i w:val="0"/>
          <w:iCs w:val="0"/>
          <w:color w:val="3E3E3E"/>
          <w:spacing w:val="9"/>
          <w:sz w:val="21"/>
          <w:szCs w:val="21"/>
        </w:rPr>
        <w:t>Molecular Medicine Reports</w:t>
      </w:r>
      <w:r>
        <w:rPr>
          <w:rStyle w:val="any"/>
          <w:rFonts w:ascii="Microsoft YaHei UI" w:eastAsia="Microsoft YaHei UI" w:hAnsi="Microsoft YaHei UI" w:cs="Microsoft YaHei UI"/>
          <w:b w:val="0"/>
          <w:bCs w:val="0"/>
          <w:i w:val="0"/>
          <w:iCs w:val="0"/>
          <w:color w:val="3E3E3E"/>
          <w:spacing w:val="9"/>
          <w:sz w:val="21"/>
          <w:szCs w:val="21"/>
        </w:rPr>
        <w:t>》之前显然已经发表过，编辑决定撤回本论文。编辑曾要求作者就这些质疑作出解释，但编辑部未收到令人满意的答复。编辑对因此给读者造成的不便表示歉意。</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60118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https://pubpeer.com/publications/161B5E832B9B86812FDDAA9547B10D#0</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https://pubmed.ncbi.nlm.nih.gov/32700750/</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https://www.spandidos-publications.com/10.3892/mmr.2025.13519</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7192&amp;idx=3&amp;sn=098187ed06e0e5467d7c9a23c359a0c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