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0894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3593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8738"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35263"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43049"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2215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5439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