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2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96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28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68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08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80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84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91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