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论文被撤稿，读者发现图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7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流式细胞仪图的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诡异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30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59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46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IF: 5.7 Q1</w:t>
      </w:r>
      <w:r>
        <w:rPr>
          <w:rStyle w:val="any"/>
          <w:rFonts w:ascii="PMingLiU" w:eastAsia="PMingLiU" w:hAnsi="PMingLiU" w:cs="PMingLiU"/>
          <w:spacing w:val="8"/>
        </w:rPr>
        <w:t>）发布了一篇撤稿通知，撤稿论文题目为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spacing w:val="8"/>
        </w:rPr>
        <w:t>，原研究单位为蚌埠医学院第一附属医院，作者包括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Jun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Luhua Yu </w:t>
      </w:r>
      <w:r>
        <w:rPr>
          <w:rStyle w:val="any"/>
          <w:rFonts w:ascii="PMingLiU" w:eastAsia="PMingLiU" w:hAnsi="PMingLiU" w:cs="PMingLiU"/>
          <w:spacing w:val="8"/>
        </w:rPr>
        <w:t>等。该论文最初发表于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174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4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44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原论文称丹皮酚通过下调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ERBB2 </w:t>
      </w:r>
      <w:r>
        <w:rPr>
          <w:rStyle w:val="any"/>
          <w:rFonts w:ascii="PMingLiU" w:eastAsia="PMingLiU" w:hAnsi="PMingLiU" w:cs="PMingLiU"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NF-κB </w:t>
      </w:r>
      <w:r>
        <w:rPr>
          <w:rStyle w:val="any"/>
          <w:rFonts w:ascii="PMingLiU" w:eastAsia="PMingLiU" w:hAnsi="PMingLiU" w:cs="PMingLiU"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SGC - 7901 </w:t>
      </w:r>
      <w:r>
        <w:rPr>
          <w:rStyle w:val="any"/>
          <w:rFonts w:ascii="PMingLiU" w:eastAsia="PMingLiU" w:hAnsi="PMingLiU" w:cs="PMingLiU"/>
          <w:spacing w:val="8"/>
        </w:rPr>
        <w:t>胃癌细胞系凋亡，在癌症研究领域有一定意义。然而，一位细心的读者发现问题并向编辑反映。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日，该论文被正式撤稿。读者指出论文中第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1479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的流式细胞仪图存在蹊跷，虽数据点数量随丹皮酚浓度增加而增多，但各面板数据点的模式相似，若实验独立进行，不应出现这种情况，这暗示实验方式存在根本性缺陷。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编辑收到反馈后，向作者询问解释，但未收到回复。基于对所呈现数据缺乏信心，《国际分子医学杂志》编辑决定撤回该论文，并向读者致歉。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https://pubpeer.com/publications/069478C636737CA9313AF2809DF45C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09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9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3&amp;sn=3a72d9003a4acda2774a4e88bc72d6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