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条带重复使用，浙江大学医学院附属邵逸夫医院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美国希望之城国家医疗中心的论文被质疑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26384345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78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20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7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美国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希望之城国家医疗中心在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Crizotinib induces autophagy through inhibition of the STAT3 pathway in multiple lung cancer cell lines"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克唑替尼通过抑制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STAT3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通路诱导多种肺癌细胞株的自噬作用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Weidong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韩卫东），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美国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希望之城国家医疗中心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Wendong Huang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黄文栋），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Hongming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潘宏铭）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81272593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）、浙江省医药卫生科技平台项目（项目编号：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2014ZDA012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H.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81372621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W.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81328016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W. Huang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）以及浙江省自然科学基金（项目编号：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LY12H16022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236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24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浙江大学医学院附属邵逸夫医院_浙江大学医学院附属邵逸夫医院科室列表_浙江大学医学院附属邵逸夫医院出停诊信息_中华康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12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5643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89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40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Fig 3A and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Fig 4A: Much more similar than expected.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51714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1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https://pubpeer.com/publications/9D6EAD1EED717C1EEC380BAAEDD4DD#0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https://pubmed.ncbi.nlm.nih.gov/26384345/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2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28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71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543&amp;idx=5&amp;sn=b8fa424f6375178f61b2d59389473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