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孙宇团队刚发的高影响因子文章存在不同文章间图片交叉重复使用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10:41:35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诚信科研通过筛库，发现2025年4月23日中科院上海营养健康研究所孙宇团队在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Advanced Science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Targeting Senescence with Apigenin Improves Chemotherapeutic Efficacy and Ameliorates Age-Related Conditions in Mice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简称SY15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，2023年7月20日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中科院上海营养健康研究所孙宇团队在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Aging Cell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Rutin is a Potent Senomorphic Agent to Target Senescent Cells and Can Improve Chemotherapeutic Efficacy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”的研究论文（简称SY5）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，文章间存在2对图片交叉重复使用（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暂时只是检测过细胞迁移及侵袭实验，后续会检测其他所有的图片类型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2185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1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1284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2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91125" cy="13811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11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对细胞迁移进行全库筛查，iFigures发现文章间存在2对图片交叉重复使用：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5C-2_SY5-4C-5出现部分重叠，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SY15-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5C-13与SY5-4C-15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9158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1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9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在2024年11月6日，诚信科研编辑部总结了孙宇团队大量文章出现图片重复使用（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8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诚信科研编辑部也再次呼吁其单位能对孙宇做进一步调查。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2139&amp;idx=3&amp;sn=b0522b4ef307c39d32e00633ec9ac52c&amp;scene=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38&amp;idx=1&amp;sn=cc5544f1e231f0a97f6f6cf023080ce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