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系无意之举！浙江大学一研究被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0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Circulation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SUMOylation Negatively Regulates Angiogenesis by Targeting Endothelial NOTCH Signaling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SUMOylation </w:t>
      </w:r>
      <w:r>
        <w:rPr>
          <w:rStyle w:val="any"/>
          <w:rFonts w:ascii="PMingLiU" w:eastAsia="PMingLiU" w:hAnsi="PMingLiU" w:cs="PMingLiU"/>
          <w:spacing w:val="8"/>
        </w:rPr>
        <w:t>通过靶向内皮细胞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 </w:t>
      </w:r>
      <w:r>
        <w:rPr>
          <w:rStyle w:val="any"/>
          <w:rFonts w:ascii="PMingLiU" w:eastAsia="PMingLiU" w:hAnsi="PMingLiU" w:cs="PMingLiU"/>
          <w:spacing w:val="8"/>
        </w:rPr>
        <w:t>信号负向调控血管生成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Xiaolong Zhu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Luyang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51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71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0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28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8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61302352711830733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97&amp;idx=1&amp;sn=87e63aa9883d20757b6a4d25386b0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