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汕头大学医学院</w:t>
        </w:r>
        <w:r>
          <w:rPr>
            <w:rStyle w:val="a"/>
            <w:rFonts w:ascii="Times New Roman" w:eastAsia="Times New Roman" w:hAnsi="Times New Roman" w:cs="Times New Roman"/>
            <w:b w:val="0"/>
            <w:bCs w:val="0"/>
            <w:spacing w:val="8"/>
          </w:rPr>
          <w:t>Mol Biosyst</w:t>
        </w:r>
        <w:r>
          <w:rPr>
            <w:rStyle w:val="a"/>
            <w:rFonts w:ascii="PMingLiU" w:eastAsia="PMingLiU" w:hAnsi="PMingLiU" w:cs="PMingLiU"/>
            <w:b w:val="0"/>
            <w:bCs w:val="0"/>
            <w:spacing w:val="8"/>
          </w:rPr>
          <w:t>图片面板重叠遭撤回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2025-04-23 09:36:16</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435"/>
        <w:gridCol w:w="29245"/>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801297"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rPr>
              <w:t>汕头大学医学院</w:t>
            </w:r>
            <w:r>
              <w:rPr>
                <w:rStyle w:val="any"/>
                <w:b/>
                <w:bCs/>
                <w:i w:val="0"/>
                <w:iCs w:val="0"/>
                <w:caps w:val="0"/>
                <w:smallCaps w:val="0"/>
                <w:color w:val="000000"/>
                <w:spacing w:val="8"/>
                <w:sz w:val="28"/>
                <w:szCs w:val="28"/>
              </w:rPr>
              <w:t>Mol Biosyst</w:t>
            </w:r>
            <w:r>
              <w:rPr>
                <w:rStyle w:val="any"/>
                <w:rFonts w:ascii="PMingLiU" w:eastAsia="PMingLiU" w:hAnsi="PMingLiU" w:cs="PMingLiU"/>
                <w:b/>
                <w:bCs/>
                <w:i w:val="0"/>
                <w:iCs w:val="0"/>
                <w:caps w:val="0"/>
                <w:smallCaps w:val="0"/>
                <w:color w:val="000000"/>
                <w:spacing w:val="8"/>
                <w:sz w:val="28"/>
                <w:szCs w:val="28"/>
              </w:rPr>
              <w:t>图片面板重叠遭撤回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Tetracycline-controllable artificial microRNA-HOTAIR + EZH2 suppressed the progression of bladder cancer cells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四环素可控制人工微小</w:t>
            </w:r>
            <w:r>
              <w:rPr>
                <w:rStyle w:val="any"/>
                <w:rFonts w:ascii="Tahoma" w:eastAsia="Tahoma" w:hAnsi="Tahoma" w:cs="Tahoma"/>
                <w:b w:val="0"/>
                <w:bCs w:val="0"/>
                <w:i w:val="0"/>
                <w:iCs w:val="0"/>
                <w:caps w:val="0"/>
                <w:smallCaps w:val="0"/>
                <w:color w:val="111111"/>
                <w:spacing w:val="8"/>
                <w:sz w:val="21"/>
                <w:szCs w:val="21"/>
              </w:rPr>
              <w:t>RNA-HOTAIR+EZH2</w:t>
            </w:r>
            <w:r>
              <w:rPr>
                <w:rStyle w:val="any"/>
                <w:rFonts w:ascii="PMingLiU" w:eastAsia="PMingLiU" w:hAnsi="PMingLiU" w:cs="PMingLiU"/>
                <w:b w:val="0"/>
                <w:bCs w:val="0"/>
                <w:i w:val="0"/>
                <w:iCs w:val="0"/>
                <w:caps w:val="0"/>
                <w:smallCaps w:val="0"/>
                <w:color w:val="111111"/>
                <w:spacing w:val="8"/>
                <w:sz w:val="21"/>
                <w:szCs w:val="21"/>
              </w:rPr>
              <w:t>抑制膀胱癌症细胞的进展</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kern w:val="36"/>
                <w:sz w:val="21"/>
                <w:szCs w:val="21"/>
              </w:rPr>
              <w:t>先前的研究表明，EZH2在膀胱癌症组织中上调，并将其确定为预后不良的生物标志物。然而，EZH2在膀胱癌症细胞中的生物学功能仍然未知。在这项研究中，我们发现EZH2的表达与膀胱癌症患者的TNM分期和不良预后无关。但是EZH2的抑制可以减缓膀胱癌症细胞的进展。此外，我们利用合成生物学技术构建了四环素可控的人工microRNA HOTAIR+EZH2，可以以多西环素剂量依赖的方式降低HOTAIR和EZH2的表达。我们还发现HOTAIR表达与EZH2表达呈正相关。四环素类人工微RNA-HOTAIR+EZH2可抑制膀胱癌症细胞的增殖和迁移。同时，膀胱癌症细胞凋亡率升高。总之，我们的研究显示了EZH2的促癌作用，并创造了一种新的方法来拯救癌症细胞的发展。</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kern w:val="36"/>
                <w:sz w:val="21"/>
                <w:szCs w:val="21"/>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1</w:t>
            </w:r>
            <w:r>
              <w:rPr>
                <w:rStyle w:val="any"/>
                <w:rFonts w:ascii="PMingLiU" w:eastAsia="PMingLiU" w:hAnsi="PMingLiU" w:cs="PMingLiU"/>
                <w:b w:val="0"/>
                <w:bCs w:val="0"/>
                <w:i w:val="0"/>
                <w:iCs w:val="0"/>
                <w:caps w:val="0"/>
                <w:smallCaps w:val="0"/>
                <w:color w:val="000000"/>
                <w:spacing w:val="8"/>
                <w:kern w:val="36"/>
                <w:sz w:val="21"/>
                <w:szCs w:val="21"/>
              </w:rPr>
              <w:t>汕头大学医学院，广东省汕头市，邮编</w:t>
            </w:r>
            <w:r>
              <w:rPr>
                <w:rStyle w:val="any"/>
                <w:rFonts w:ascii="Times New Roman" w:hAnsi="Times New Roman" w:cs="Times New Roman"/>
                <w:b w:val="0"/>
                <w:bCs w:val="0"/>
                <w:i w:val="0"/>
                <w:iCs w:val="0"/>
                <w:caps w:val="0"/>
                <w:smallCaps w:val="0"/>
                <w:color w:val="000000"/>
                <w:spacing w:val="8"/>
                <w:kern w:val="36"/>
                <w:sz w:val="21"/>
                <w:szCs w:val="21"/>
              </w:rPr>
              <w:t>515041</w:t>
            </w:r>
            <w:r>
              <w:rPr>
                <w:rStyle w:val="any"/>
                <w:rFonts w:ascii="PMingLiU" w:eastAsia="PMingLiU" w:hAnsi="PMingLiU" w:cs="PMingLiU"/>
                <w:b w:val="0"/>
                <w:bCs w:val="0"/>
                <w:i w:val="0"/>
                <w:iCs w:val="0"/>
                <w:caps w:val="0"/>
                <w:smallCaps w:val="0"/>
                <w:color w:val="000000"/>
                <w:spacing w:val="8"/>
                <w:kern w:val="36"/>
                <w:sz w:val="21"/>
                <w:szCs w:val="21"/>
              </w:rPr>
              <w:t>。</w:t>
            </w:r>
          </w:p>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2</w:t>
            </w:r>
            <w:r>
              <w:rPr>
                <w:rStyle w:val="any"/>
                <w:rFonts w:ascii="PMingLiU" w:eastAsia="PMingLiU" w:hAnsi="PMingLiU" w:cs="PMingLiU"/>
                <w:b w:val="0"/>
                <w:bCs w:val="0"/>
                <w:i w:val="0"/>
                <w:iCs w:val="0"/>
                <w:caps w:val="0"/>
                <w:smallCaps w:val="0"/>
                <w:color w:val="000000"/>
                <w:spacing w:val="8"/>
                <w:kern w:val="36"/>
                <w:sz w:val="21"/>
                <w:szCs w:val="21"/>
              </w:rPr>
              <w:t>汕头大学医学院，广东省汕头市</w:t>
            </w:r>
            <w:r>
              <w:rPr>
                <w:rStyle w:val="any"/>
                <w:rFonts w:ascii="Times New Roman" w:hAnsi="Times New Roman" w:cs="Times New Roman"/>
                <w:b w:val="0"/>
                <w:bCs w:val="0"/>
                <w:i w:val="0"/>
                <w:iCs w:val="0"/>
                <w:caps w:val="0"/>
                <w:smallCaps w:val="0"/>
                <w:color w:val="000000"/>
                <w:spacing w:val="8"/>
                <w:kern w:val="36"/>
                <w:sz w:val="21"/>
                <w:szCs w:val="21"/>
              </w:rPr>
              <w:t>515041</w:t>
            </w:r>
            <w:r>
              <w:rPr>
                <w:rStyle w:val="any"/>
                <w:rFonts w:ascii="PMingLiU" w:eastAsia="PMingLiU" w:hAnsi="PMingLiU" w:cs="PMingLiU"/>
                <w:b w:val="0"/>
                <w:bCs w:val="0"/>
                <w:i w:val="0"/>
                <w:iCs w:val="0"/>
                <w:caps w:val="0"/>
                <w:smallCaps w:val="0"/>
                <w:color w:val="000000"/>
                <w:spacing w:val="8"/>
                <w:kern w:val="36"/>
                <w:sz w:val="21"/>
                <w:szCs w:val="21"/>
              </w:rPr>
              <w:t>。深圳大学附属第一医院深圳市第二人民医院医学重编程技术重点实验室，广东省深圳市</w:t>
            </w:r>
            <w:r>
              <w:rPr>
                <w:rStyle w:val="any"/>
                <w:rFonts w:ascii="Times New Roman" w:hAnsi="Times New Roman" w:cs="Times New Roman"/>
                <w:b w:val="0"/>
                <w:bCs w:val="0"/>
                <w:i w:val="0"/>
                <w:iCs w:val="0"/>
                <w:caps w:val="0"/>
                <w:smallCaps w:val="0"/>
                <w:color w:val="000000"/>
                <w:spacing w:val="8"/>
                <w:kern w:val="36"/>
                <w:sz w:val="21"/>
                <w:szCs w:val="21"/>
              </w:rPr>
              <w:t>518039</w:t>
            </w:r>
            <w:r>
              <w:rPr>
                <w:rStyle w:val="any"/>
                <w:rFonts w:ascii="PMingLiU" w:eastAsia="PMingLiU" w:hAnsi="PMingLiU" w:cs="PMingLiU"/>
                <w:b w:val="0"/>
                <w:bCs w:val="0"/>
                <w:i w:val="0"/>
                <w:iCs w:val="0"/>
                <w:caps w:val="0"/>
                <w:smallCaps w:val="0"/>
                <w:color w:val="000000"/>
                <w:spacing w:val="8"/>
                <w:kern w:val="36"/>
                <w:sz w:val="21"/>
                <w:szCs w:val="21"/>
              </w:rPr>
              <w:t>。</w:t>
            </w:r>
          </w:p>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3</w:t>
            </w:r>
            <w:r>
              <w:rPr>
                <w:rStyle w:val="any"/>
                <w:rFonts w:ascii="PMingLiU" w:eastAsia="PMingLiU" w:hAnsi="PMingLiU" w:cs="PMingLiU"/>
                <w:b w:val="0"/>
                <w:bCs w:val="0"/>
                <w:i w:val="0"/>
                <w:iCs w:val="0"/>
                <w:caps w:val="0"/>
                <w:smallCaps w:val="0"/>
                <w:color w:val="000000"/>
                <w:spacing w:val="8"/>
                <w:kern w:val="36"/>
                <w:sz w:val="21"/>
                <w:szCs w:val="21"/>
              </w:rPr>
              <w:t>汕头大学医学院，广东省汕头市</w:t>
            </w:r>
            <w:r>
              <w:rPr>
                <w:rStyle w:val="any"/>
                <w:rFonts w:ascii="Times New Roman" w:hAnsi="Times New Roman" w:cs="Times New Roman"/>
                <w:b w:val="0"/>
                <w:bCs w:val="0"/>
                <w:i w:val="0"/>
                <w:iCs w:val="0"/>
                <w:caps w:val="0"/>
                <w:smallCaps w:val="0"/>
                <w:color w:val="000000"/>
                <w:spacing w:val="8"/>
                <w:kern w:val="36"/>
                <w:sz w:val="21"/>
                <w:szCs w:val="21"/>
              </w:rPr>
              <w:t>515041</w:t>
            </w:r>
            <w:r>
              <w:rPr>
                <w:rStyle w:val="any"/>
                <w:rFonts w:ascii="PMingLiU" w:eastAsia="PMingLiU" w:hAnsi="PMingLiU" w:cs="PMingLiU"/>
                <w:b w:val="0"/>
                <w:bCs w:val="0"/>
                <w:i w:val="0"/>
                <w:iCs w:val="0"/>
                <w:caps w:val="0"/>
                <w:smallCaps w:val="0"/>
                <w:color w:val="000000"/>
                <w:spacing w:val="8"/>
                <w:kern w:val="36"/>
                <w:sz w:val="21"/>
                <w:szCs w:val="21"/>
              </w:rPr>
              <w:t>。汕头大学医学院附属第二医院儿科，汕头</w:t>
            </w:r>
            <w:r>
              <w:rPr>
                <w:rStyle w:val="any"/>
                <w:rFonts w:ascii="Times New Roman" w:hAnsi="Times New Roman" w:cs="Times New Roman"/>
                <w:b w:val="0"/>
                <w:bCs w:val="0"/>
                <w:i w:val="0"/>
                <w:iCs w:val="0"/>
                <w:caps w:val="0"/>
                <w:smallCaps w:val="0"/>
                <w:color w:val="000000"/>
                <w:spacing w:val="8"/>
                <w:kern w:val="36"/>
                <w:sz w:val="21"/>
                <w:szCs w:val="21"/>
              </w:rPr>
              <w:t>515041</w:t>
            </w:r>
            <w:r>
              <w:rPr>
                <w:rStyle w:val="any"/>
                <w:rFonts w:ascii="PMingLiU" w:eastAsia="PMingLiU" w:hAnsi="PMingLiU" w:cs="PMingLiU"/>
                <w:b w:val="0"/>
                <w:bCs w:val="0"/>
                <w:i w:val="0"/>
                <w:iCs w:val="0"/>
                <w:caps w:val="0"/>
                <w:smallCaps w:val="0"/>
                <w:color w:val="000000"/>
                <w:spacing w:val="8"/>
                <w:kern w:val="36"/>
                <w:sz w:val="21"/>
                <w:szCs w:val="21"/>
              </w:rPr>
              <w:t>。</w:t>
            </w:r>
          </w:p>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4</w:t>
            </w:r>
            <w:r>
              <w:rPr>
                <w:rStyle w:val="any"/>
                <w:rFonts w:ascii="PMingLiU" w:eastAsia="PMingLiU" w:hAnsi="PMingLiU" w:cs="PMingLiU"/>
                <w:b w:val="0"/>
                <w:bCs w:val="0"/>
                <w:i w:val="0"/>
                <w:iCs w:val="0"/>
                <w:caps w:val="0"/>
                <w:smallCaps w:val="0"/>
                <w:color w:val="000000"/>
                <w:spacing w:val="8"/>
                <w:kern w:val="36"/>
                <w:sz w:val="21"/>
                <w:szCs w:val="21"/>
              </w:rPr>
              <w:t>深圳大学附属第一医院深圳市第二人民医院医学重编程技术重点实验室，广东省深圳市</w:t>
            </w:r>
            <w:r>
              <w:rPr>
                <w:rStyle w:val="any"/>
                <w:rFonts w:ascii="Times New Roman" w:hAnsi="Times New Roman" w:cs="Times New Roman"/>
                <w:b w:val="0"/>
                <w:bCs w:val="0"/>
                <w:i w:val="0"/>
                <w:iCs w:val="0"/>
                <w:caps w:val="0"/>
                <w:smallCaps w:val="0"/>
                <w:color w:val="000000"/>
                <w:spacing w:val="8"/>
                <w:kern w:val="36"/>
                <w:sz w:val="21"/>
                <w:szCs w:val="21"/>
              </w:rPr>
              <w:t>518039</w:t>
            </w:r>
            <w:r>
              <w:rPr>
                <w:rStyle w:val="any"/>
                <w:rFonts w:ascii="PMingLiU" w:eastAsia="PMingLiU" w:hAnsi="PMingLiU" w:cs="PMingLiU"/>
                <w:b w:val="0"/>
                <w:bCs w:val="0"/>
                <w:i w:val="0"/>
                <w:iCs w:val="0"/>
                <w:caps w:val="0"/>
                <w:smallCaps w:val="0"/>
                <w:color w:val="000000"/>
                <w:spacing w:val="8"/>
                <w:kern w:val="36"/>
                <w:sz w:val="21"/>
                <w:szCs w:val="21"/>
              </w:rPr>
              <w:t>。</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Mol Biosyst</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kern w:val="36"/>
                <w:sz w:val="21"/>
                <w:szCs w:val="21"/>
              </w:rPr>
              <w:t>图片面板重叠</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kern w:val="36"/>
                <w:sz w:val="21"/>
                <w:szCs w:val="21"/>
              </w:rPr>
              <w:t>由于对数据可靠性的担忧，英国皇家化学学会特此完全撤回这篇关于分子生物系统的文章。在图6c中，标记为“T24/miR NC+dox”和“T24/miR-NC-dox”的面板存在重叠。在图8a中，标记为“5637/miR NC+dox”和“5637/miR NC-dox”的流式细胞术面板存在重叠。在图8a中，流式细胞术面板“5637/miR HOTAIR+EZH2”和不同作者在另一篇出版物的图7c中发现的标记为“5637pcDNA3.1-ABHD11-AS1”的面板存在重叠。1在图9d中，标记为“miR HOTAIR+EZH2+dox”的左侧面板和标记为“miR NC+dox”的左侧板存在重叠。作者声称，这些错误是由于图像的错位造成的，并提供了替代数据供考虑。然而，提交人的答复没有令人满意地解决这些问题，替换数字也不完全支持案文。鉴于对数据有效性的担忧的重要性，本文提出的研究结果不再可靠。作者已收到通知，但尚未回复有关撤回的任何信件。</w:t>
            </w:r>
          </w:p>
          <w:p>
            <w:pPr>
              <w:pStyle w:val="p"/>
              <w:pBdr>
                <w:top w:val="none" w:sz="0" w:space="0" w:color="auto"/>
                <w:left w:val="none" w:sz="0" w:space="0" w:color="auto"/>
                <w:bottom w:val="none" w:sz="0" w:space="0" w:color="auto"/>
                <w:right w:val="none" w:sz="0" w:space="0" w:color="auto"/>
              </w:pBdr>
              <w:spacing w:before="0" w:after="0" w:line="360" w:lineRule="auto"/>
              <w:ind w:left="0" w:right="0"/>
              <w:rPr>
                <w:rStyle w:val="any"/>
                <w:b w:val="0"/>
                <w:bCs w:val="0"/>
                <w:i w:val="0"/>
                <w:iCs w:val="0"/>
                <w:caps w:val="0"/>
                <w:smallCaps w:val="0"/>
                <w:color w:val="000000"/>
                <w:spacing w:val="8"/>
                <w:sz w:val="21"/>
                <w:szCs w:val="21"/>
              </w:rPr>
            </w:pPr>
            <w:r>
              <w:rPr>
                <w:rStyle w:val="any"/>
                <w:b w:val="0"/>
                <w:bCs w:val="0"/>
                <w:i w:val="0"/>
                <w:iCs w:val="0"/>
                <w:caps w:val="0"/>
                <w:smallCaps w:val="0"/>
                <w:color w:val="000000"/>
                <w:spacing w:val="8"/>
                <w:sz w:val="21"/>
                <w:szCs w:val="21"/>
              </w:rPr>
              <w:t> </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7695" cy="144913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837984" name=""/>
                          <pic:cNvPicPr>
                            <a:picLocks noChangeAspect="1"/>
                          </pic:cNvPicPr>
                        </pic:nvPicPr>
                        <pic:blipFill>
                          <a:blip xmlns:r="http://schemas.openxmlformats.org/officeDocument/2006/relationships" r:embed="rId7"/>
                          <a:stretch>
                            <a:fillRect/>
                          </a:stretch>
                        </pic:blipFill>
                        <pic:spPr>
                          <a:xfrm>
                            <a:off x="0" y="0"/>
                            <a:ext cx="3657695" cy="144913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3219" cy="164277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269880" name=""/>
                          <pic:cNvPicPr>
                            <a:picLocks noChangeAspect="1"/>
                          </pic:cNvPicPr>
                        </pic:nvPicPr>
                        <pic:blipFill>
                          <a:blip xmlns:r="http://schemas.openxmlformats.org/officeDocument/2006/relationships" r:embed="rId8"/>
                          <a:stretch>
                            <a:fillRect/>
                          </a:stretch>
                        </pic:blipFill>
                        <pic:spPr>
                          <a:xfrm>
                            <a:off x="0" y="0"/>
                            <a:ext cx="3653219" cy="1642777"/>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652951"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6"/>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177199" name=""/>
                    <pic:cNvPicPr>
                      <a:picLocks noChangeAspect="1"/>
                    </pic:cNvPicPr>
                  </pic:nvPicPr>
                  <pic:blipFill>
                    <a:blip xmlns:r="http://schemas.openxmlformats.org/officeDocument/2006/relationships" r:embed="rId10"/>
                    <a:stretch>
                      <a:fillRect/>
                    </a:stretch>
                  </pic:blipFill>
                  <pic:spPr>
                    <a:xfrm>
                      <a:off x="0" y="0"/>
                      <a:ext cx="4063460" cy="25076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848827"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732&amp;idx=1&amp;sn=fab8d71af213674fef687d590a6b6ce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